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3083C" w14:textId="77777777" w:rsidR="00B47441" w:rsidRPr="00694FBA" w:rsidRDefault="00B47441" w:rsidP="00B47441">
      <w:pPr>
        <w:tabs>
          <w:tab w:val="left" w:pos="6300"/>
        </w:tabs>
        <w:spacing w:after="0"/>
        <w:rPr>
          <w:rFonts w:eastAsiaTheme="majorEastAsia" w:cstheme="majorBidi"/>
          <w:b/>
          <w:bCs/>
          <w:noProof/>
          <w:color w:val="000000" w:themeColor="text1"/>
          <w:szCs w:val="26"/>
          <w:lang w:val="fr-FR"/>
        </w:rPr>
      </w:pPr>
      <w:bookmarkStart w:id="0" w:name="OLE_LINK1"/>
      <w:bookmarkStart w:id="1" w:name="OLE_LINK2"/>
      <w:bookmarkStart w:id="2" w:name="_GoBack"/>
      <w:bookmarkEnd w:id="2"/>
      <w:r w:rsidRPr="00694FBA">
        <w:rPr>
          <w:rFonts w:eastAsiaTheme="majorEastAsia" w:cstheme="majorBidi"/>
          <w:b/>
          <w:bCs/>
          <w:noProof/>
          <w:color w:val="000000" w:themeColor="text1"/>
          <w:szCs w:val="26"/>
          <w:lang w:val="fr-FR"/>
        </w:rPr>
        <w:t xml:space="preserve">TREIZIÈME RÉUNION DES MINISTRES </w:t>
      </w:r>
    </w:p>
    <w:p w14:paraId="55EFC495" w14:textId="7E9AF764" w:rsidR="00B47441" w:rsidRPr="00694FBA" w:rsidRDefault="00B47441" w:rsidP="00B47441">
      <w:pPr>
        <w:tabs>
          <w:tab w:val="left" w:pos="6300"/>
        </w:tabs>
        <w:spacing w:after="0"/>
        <w:rPr>
          <w:rFonts w:eastAsiaTheme="majorEastAsia" w:cstheme="majorBidi"/>
          <w:b/>
          <w:bCs/>
          <w:noProof/>
          <w:color w:val="000000" w:themeColor="text1"/>
          <w:szCs w:val="26"/>
          <w:lang w:val="fr-FR"/>
        </w:rPr>
      </w:pPr>
      <w:r w:rsidRPr="00694FBA">
        <w:rPr>
          <w:rFonts w:eastAsiaTheme="majorEastAsia" w:cstheme="majorBidi"/>
          <w:b/>
          <w:bCs/>
          <w:noProof/>
          <w:color w:val="000000" w:themeColor="text1"/>
          <w:szCs w:val="26"/>
          <w:lang w:val="fr-FR"/>
        </w:rPr>
        <w:t xml:space="preserve">DE LA SANTÉ DES PAYS OCÉANIENS                                           </w:t>
      </w:r>
      <w:r w:rsidR="00A37601" w:rsidRPr="00A37601">
        <w:rPr>
          <w:rFonts w:eastAsiaTheme="majorEastAsia" w:cstheme="majorBidi"/>
          <w:b/>
          <w:bCs/>
          <w:noProof/>
          <w:color w:val="000000" w:themeColor="text1"/>
          <w:szCs w:val="26"/>
          <w:lang w:val="fr-FR"/>
        </w:rPr>
        <w:t>PIC13/S4/1</w:t>
      </w:r>
      <w:r w:rsidR="00A37601" w:rsidRPr="00A37601">
        <w:rPr>
          <w:rFonts w:eastAsiaTheme="majorEastAsia" w:cstheme="majorBidi"/>
          <w:b/>
          <w:bCs/>
          <w:noProof/>
          <w:color w:val="000000" w:themeColor="text1"/>
          <w:szCs w:val="26"/>
          <w:lang w:val="fr-FR"/>
        </w:rPr>
        <w:tab/>
      </w:r>
    </w:p>
    <w:p w14:paraId="6751A7A3" w14:textId="2948DEB5" w:rsidR="00B47441" w:rsidRPr="00694FBA" w:rsidRDefault="00B47441" w:rsidP="00B47441">
      <w:pPr>
        <w:tabs>
          <w:tab w:val="left" w:pos="6300"/>
        </w:tabs>
        <w:spacing w:after="0"/>
        <w:rPr>
          <w:rFonts w:eastAsiaTheme="majorEastAsia" w:cstheme="majorBidi"/>
          <w:b/>
          <w:bCs/>
          <w:noProof/>
          <w:color w:val="000000" w:themeColor="text1"/>
          <w:szCs w:val="26"/>
          <w:lang w:val="fr-FR"/>
        </w:rPr>
      </w:pPr>
      <w:r w:rsidRPr="00694FBA">
        <w:rPr>
          <w:rFonts w:eastAsiaTheme="majorEastAsia" w:cstheme="majorBidi"/>
          <w:b/>
          <w:bCs/>
          <w:noProof/>
          <w:color w:val="000000" w:themeColor="text1"/>
          <w:szCs w:val="26"/>
          <w:lang w:val="fr-FR"/>
        </w:rPr>
        <w:t>Papeete (Polynésie française)                                                                 18 juin 2019</w:t>
      </w:r>
    </w:p>
    <w:p w14:paraId="7BD4D1B7" w14:textId="69F1B083" w:rsidR="00B47441" w:rsidRPr="004D600A" w:rsidRDefault="00B47441" w:rsidP="00B47441">
      <w:pPr>
        <w:tabs>
          <w:tab w:val="left" w:pos="6300"/>
        </w:tabs>
        <w:spacing w:after="0"/>
        <w:rPr>
          <w:rFonts w:cs="Times New Roman"/>
          <w:b/>
          <w:bCs/>
          <w:noProof/>
          <w:color w:val="000000" w:themeColor="text1"/>
          <w:lang w:val="fr-FR"/>
        </w:rPr>
      </w:pPr>
      <w:r w:rsidRPr="00694FBA">
        <w:rPr>
          <w:rFonts w:eastAsiaTheme="majorEastAsia" w:cstheme="majorBidi"/>
          <w:b/>
          <w:bCs/>
          <w:noProof/>
          <w:color w:val="000000" w:themeColor="text1"/>
          <w:szCs w:val="26"/>
          <w:lang w:val="fr-FR"/>
        </w:rPr>
        <w:t>6–8 août 2019</w:t>
      </w:r>
      <w:r w:rsidRPr="00694FBA">
        <w:rPr>
          <w:rFonts w:eastAsiaTheme="majorEastAsia" w:cstheme="majorBidi"/>
          <w:b/>
          <w:bCs/>
          <w:noProof/>
          <w:color w:val="000000" w:themeColor="text1"/>
          <w:szCs w:val="26"/>
          <w:lang w:val="fr-FR"/>
        </w:rPr>
        <w:tab/>
        <w:t>ORIGINAL : ANGLAIS</w:t>
      </w:r>
    </w:p>
    <w:p w14:paraId="72A9D351" w14:textId="59A29230" w:rsidR="008E0E4B" w:rsidRPr="00694FBA" w:rsidRDefault="002220BC" w:rsidP="00D2206F">
      <w:pPr>
        <w:pStyle w:val="Heading7"/>
        <w:rPr>
          <w:rFonts w:ascii="Times New Roman" w:hAnsi="Times New Roman" w:cs="Times New Roman"/>
          <w:caps/>
          <w:sz w:val="22"/>
          <w:szCs w:val="22"/>
          <w:lang w:val="fr-FR"/>
        </w:rPr>
      </w:pPr>
      <w:r w:rsidRPr="00694FBA">
        <w:rPr>
          <w:rFonts w:ascii="Times New Roman" w:hAnsi="Times New Roman" w:cs="Times New Roman"/>
          <w:bCs/>
          <w:caps/>
          <w:sz w:val="22"/>
          <w:szCs w:val="22"/>
          <w:lang w:val="fr"/>
        </w:rPr>
        <w:t xml:space="preserve">Feuille de route sur </w:t>
      </w:r>
      <w:r w:rsidR="009F01B6">
        <w:rPr>
          <w:rFonts w:ascii="Times New Roman" w:hAnsi="Times New Roman" w:cs="Times New Roman"/>
          <w:bCs/>
          <w:caps/>
          <w:sz w:val="22"/>
          <w:szCs w:val="22"/>
          <w:lang w:val="fr"/>
        </w:rPr>
        <w:t>les maladies non transmissibles</w:t>
      </w:r>
      <w:r w:rsidRPr="00694FBA">
        <w:rPr>
          <w:rFonts w:ascii="Times New Roman" w:hAnsi="Times New Roman" w:cs="Times New Roman"/>
          <w:b w:val="0"/>
          <w:caps/>
          <w:sz w:val="22"/>
          <w:szCs w:val="22"/>
          <w:lang w:val="fr"/>
        </w:rPr>
        <w:br/>
      </w:r>
      <w:r w:rsidRPr="00694FBA">
        <w:rPr>
          <w:rFonts w:ascii="Times New Roman" w:hAnsi="Times New Roman" w:cs="Times New Roman"/>
          <w:bCs/>
          <w:caps/>
          <w:sz w:val="22"/>
          <w:szCs w:val="22"/>
          <w:lang w:val="fr"/>
        </w:rPr>
        <w:t xml:space="preserve">Alliance océanienne de surveillance pour la lutte contre les MNT : Rapport de </w:t>
      </w:r>
      <w:r w:rsidR="009F01B6">
        <w:rPr>
          <w:rFonts w:ascii="Times New Roman" w:hAnsi="Times New Roman" w:cs="Times New Roman"/>
          <w:bCs/>
          <w:caps/>
          <w:sz w:val="22"/>
          <w:szCs w:val="22"/>
          <w:lang w:val="fr"/>
        </w:rPr>
        <w:t>situation </w:t>
      </w:r>
    </w:p>
    <w:p w14:paraId="14C151C2" w14:textId="5EF6DDAA" w:rsidR="00186793" w:rsidRPr="00694FBA" w:rsidRDefault="00082F9D" w:rsidP="00082F9D">
      <w:pPr>
        <w:pStyle w:val="boxedsummary"/>
        <w:tabs>
          <w:tab w:val="clear" w:pos="6840"/>
          <w:tab w:val="left" w:pos="1080"/>
        </w:tabs>
        <w:spacing w:after="0"/>
        <w:ind w:left="431" w:right="431" w:firstLine="0"/>
        <w:rPr>
          <w:szCs w:val="22"/>
          <w:lang w:val="fr-FR"/>
        </w:rPr>
      </w:pPr>
      <w:r w:rsidRPr="00694FBA">
        <w:rPr>
          <w:szCs w:val="22"/>
          <w:lang w:val="fr"/>
        </w:rPr>
        <w:tab/>
      </w:r>
      <w:r w:rsidR="00AB3726" w:rsidRPr="00694FBA">
        <w:rPr>
          <w:szCs w:val="22"/>
          <w:lang w:val="fr"/>
        </w:rPr>
        <w:t>Conscients</w:t>
      </w:r>
      <w:r w:rsidRPr="00694FBA">
        <w:rPr>
          <w:szCs w:val="22"/>
          <w:lang w:val="fr"/>
        </w:rPr>
        <w:t xml:space="preserve"> de l'extraordinaire charge des maladies non transmissibles (MNT) dans le Pacifique, les leaders océaniens ont approuvé les Conclusions de la feuille de route sur les MNT et adopté le Tableau de bord pour la lutte contre les MNT pour assurer un suivi des progrès.  </w:t>
      </w:r>
    </w:p>
    <w:p w14:paraId="60557EE4" w14:textId="77777777" w:rsidR="00A14D8D" w:rsidRPr="00E53266" w:rsidRDefault="00A14D8D" w:rsidP="00082F9D">
      <w:pPr>
        <w:pStyle w:val="boxedsummary"/>
        <w:tabs>
          <w:tab w:val="clear" w:pos="6840"/>
          <w:tab w:val="left" w:pos="1080"/>
        </w:tabs>
        <w:spacing w:after="0"/>
        <w:ind w:left="431" w:right="431" w:firstLine="0"/>
        <w:rPr>
          <w:szCs w:val="22"/>
          <w:lang w:val="fr-FR"/>
        </w:rPr>
      </w:pPr>
    </w:p>
    <w:p w14:paraId="7DA42F02" w14:textId="1E14FEA1" w:rsidR="00A14D8D" w:rsidRPr="00E53266" w:rsidRDefault="00082F9D" w:rsidP="00082F9D">
      <w:pPr>
        <w:pStyle w:val="boxedsummary"/>
        <w:tabs>
          <w:tab w:val="clear" w:pos="6840"/>
          <w:tab w:val="left" w:pos="1080"/>
        </w:tabs>
        <w:spacing w:after="0"/>
        <w:ind w:left="431" w:right="431" w:firstLine="0"/>
        <w:rPr>
          <w:szCs w:val="22"/>
          <w:lang w:val="fr-FR"/>
        </w:rPr>
      </w:pPr>
      <w:r w:rsidRPr="00E53266">
        <w:rPr>
          <w:szCs w:val="22"/>
          <w:lang w:val="fr"/>
        </w:rPr>
        <w:tab/>
        <w:t>La plupart des pays ont bien progressé sur l'élaboration de stratégies nationales multisectorielles sur les MNT ; l'augmentation des taxes sur les produits nocifs pour la santé ; le renforcement de la gestion des MNT ; et le suivi des progrès accomplis au travers des études des facteurs de risque des MNT et du Tableau de bord pour la lutte contre les MNT.</w:t>
      </w:r>
    </w:p>
    <w:p w14:paraId="537127EF" w14:textId="7C0C4446" w:rsidR="00186793" w:rsidRPr="009B4C8C" w:rsidRDefault="004C3048" w:rsidP="00082F9D">
      <w:pPr>
        <w:pStyle w:val="boxedsummary"/>
        <w:tabs>
          <w:tab w:val="clear" w:pos="6840"/>
          <w:tab w:val="left" w:pos="1080"/>
        </w:tabs>
        <w:spacing w:after="0"/>
        <w:ind w:left="431" w:right="431" w:firstLine="0"/>
        <w:rPr>
          <w:szCs w:val="22"/>
          <w:highlight w:val="yellow"/>
          <w:lang w:val="fr-FR"/>
        </w:rPr>
      </w:pPr>
      <w:r>
        <w:rPr>
          <w:szCs w:val="22"/>
          <w:highlight w:val="yellow"/>
          <w:lang w:val="fr"/>
        </w:rPr>
        <w:t xml:space="preserve"> </w:t>
      </w:r>
    </w:p>
    <w:p w14:paraId="159AF8C7" w14:textId="780D7577" w:rsidR="007608DB" w:rsidRPr="00A37601" w:rsidRDefault="00082F9D" w:rsidP="00A37601">
      <w:pPr>
        <w:pStyle w:val="boxedsummary"/>
        <w:tabs>
          <w:tab w:val="clear" w:pos="6840"/>
          <w:tab w:val="left" w:pos="1080"/>
        </w:tabs>
        <w:spacing w:after="0"/>
        <w:ind w:left="431" w:right="431" w:firstLine="0"/>
        <w:rPr>
          <w:szCs w:val="22"/>
          <w:highlight w:val="yellow"/>
          <w:lang w:val="fr-FR"/>
        </w:rPr>
      </w:pPr>
      <w:r w:rsidRPr="00E53266">
        <w:rPr>
          <w:szCs w:val="22"/>
          <w:lang w:val="fr"/>
        </w:rPr>
        <w:tab/>
        <w:t>En dépit d'objectifs atteints, plusieurs enjeux et lacunes clés subsistent et exigent une action urgente des gouvernements. Les ministre</w:t>
      </w:r>
      <w:r w:rsidR="00E53266">
        <w:rPr>
          <w:szCs w:val="22"/>
          <w:lang w:val="fr"/>
        </w:rPr>
        <w:t xml:space="preserve">s de la santé sont invités à : </w:t>
      </w:r>
      <w:r w:rsidRPr="00E53266">
        <w:rPr>
          <w:szCs w:val="22"/>
          <w:lang w:val="fr"/>
        </w:rPr>
        <w:t xml:space="preserve">i) s'assurer que les pays disposent d'un plan et de priorités stratégiques à jour sur les MNT, avec des indicateurs et des délais clairement définis ; ii) s'engager à élaborer ou à maintenir un groupe de </w:t>
      </w:r>
      <w:r w:rsidR="00E53266">
        <w:rPr>
          <w:szCs w:val="22"/>
          <w:lang w:val="fr"/>
        </w:rPr>
        <w:t xml:space="preserve">travail multisectoriel actif ; </w:t>
      </w:r>
      <w:r w:rsidRPr="00E53266">
        <w:rPr>
          <w:szCs w:val="22"/>
          <w:lang w:val="fr"/>
        </w:rPr>
        <w:t>iii) approuver le rapport régional du Tableau de bord pou</w:t>
      </w:r>
      <w:r w:rsidR="00E53266">
        <w:rPr>
          <w:szCs w:val="22"/>
          <w:lang w:val="fr"/>
        </w:rPr>
        <w:t>r la lutte contre les MNT ; et iv</w:t>
      </w:r>
      <w:r w:rsidRPr="00E53266">
        <w:rPr>
          <w:szCs w:val="22"/>
          <w:lang w:val="fr"/>
        </w:rPr>
        <w:t xml:space="preserve">) utiliser le Tableau de bord pour la lutte contre les MNT à l'échelon national afin de prioriser les actions clés pour l'année suivante, particulièrement dans la prise en compte des lacunes communes dans la région, telles que la mise en place de contrôles sur la commercialisation d'aliments nocifs pour la santé et destinés aux enfants ; la restriction de gras trans ; la prévention de toute ingérence des industriels du secteur du tabac ; et la hausse de taxes supplémentaires sur les produits qui sont mauvais pour la santé.  </w:t>
      </w:r>
      <w:r>
        <w:rPr>
          <w:szCs w:val="22"/>
          <w:highlight w:val="yellow"/>
          <w:lang w:val="fr"/>
        </w:rPr>
        <w:t xml:space="preserve"> </w:t>
      </w:r>
      <w:r w:rsidR="007608DB">
        <w:rPr>
          <w:rFonts w:eastAsia="SimSun"/>
          <w:b/>
          <w:bCs/>
          <w:szCs w:val="22"/>
          <w:highlight w:val="yellow"/>
          <w:lang w:val="fr"/>
        </w:rPr>
        <w:br w:type="page"/>
      </w:r>
    </w:p>
    <w:bookmarkEnd w:id="0"/>
    <w:bookmarkEnd w:id="1"/>
    <w:p w14:paraId="7546A9FB" w14:textId="3C56A370" w:rsidR="00274684" w:rsidRPr="009B4C8C" w:rsidRDefault="00BD60F7">
      <w:pPr>
        <w:pStyle w:val="Heading1"/>
        <w:rPr>
          <w:lang w:val="fr-FR"/>
        </w:rPr>
      </w:pPr>
      <w:r>
        <w:rPr>
          <w:lang w:val="fr"/>
        </w:rPr>
        <w:lastRenderedPageBreak/>
        <w:t xml:space="preserve">1.  CONTEXTE </w:t>
      </w:r>
    </w:p>
    <w:p w14:paraId="32F3EB29" w14:textId="7629C420" w:rsidR="00885B9D" w:rsidRPr="00095933" w:rsidRDefault="00885B9D" w:rsidP="00B7168F">
      <w:pPr>
        <w:rPr>
          <w:lang w:val="fr-FR"/>
        </w:rPr>
      </w:pPr>
      <w:r w:rsidRPr="009D056E">
        <w:rPr>
          <w:lang w:val="fr"/>
        </w:rPr>
        <w:t xml:space="preserve">Les maladies non transmissibles (MNT) sont la cause principale de décès prématurés et de handicap dans le Pacifique. Elles présentent une menace majeure sur la santé et le développement durable dans </w:t>
      </w:r>
      <w:r w:rsidRPr="00095933">
        <w:rPr>
          <w:lang w:val="fr"/>
        </w:rPr>
        <w:t xml:space="preserve">l'ensemble de la </w:t>
      </w:r>
      <w:r w:rsidR="009D056E" w:rsidRPr="00095933">
        <w:rPr>
          <w:lang w:val="fr"/>
        </w:rPr>
        <w:t>R</w:t>
      </w:r>
      <w:r w:rsidRPr="00095933">
        <w:rPr>
          <w:lang w:val="fr"/>
        </w:rPr>
        <w:t xml:space="preserve">égion. </w:t>
      </w:r>
    </w:p>
    <w:p w14:paraId="2AC9295F" w14:textId="545640DB" w:rsidR="000726FE" w:rsidRPr="00095933" w:rsidRDefault="00454A31" w:rsidP="00B7168F">
      <w:pPr>
        <w:rPr>
          <w:lang w:val="fr-FR"/>
        </w:rPr>
      </w:pPr>
      <w:r w:rsidRPr="00095933">
        <w:rPr>
          <w:lang w:val="fr"/>
        </w:rPr>
        <w:t>Conscients de ce fait, en juillet 2014, les ministres de la santé et des finances océaniens ont adopté le</w:t>
      </w:r>
      <w:r w:rsidR="00C5690F" w:rsidRPr="00095933">
        <w:rPr>
          <w:lang w:val="fr"/>
        </w:rPr>
        <w:t xml:space="preserve">s </w:t>
      </w:r>
      <w:hyperlink r:id="rId9" w:history="1">
        <w:r w:rsidRPr="00095933">
          <w:rPr>
            <w:rStyle w:val="Hyperlink"/>
            <w:lang w:val="fr"/>
          </w:rPr>
          <w:t>Conclusions de la feuille de route sur les MNT</w:t>
        </w:r>
      </w:hyperlink>
      <w:r w:rsidRPr="00095933">
        <w:rPr>
          <w:lang w:val="fr"/>
        </w:rPr>
        <w:t xml:space="preserve"> et se sont engagés à agir au plan national dans cinq domaines prioritaires, à savoir : renforcer la lutte antitabac au travers des augmentations croissantes de droits d'accise ; envisager une augmentation des taxes sur les produits alcoolisés ; envisager des politiques qui feraient baisser la consommation d'aliments et de boissons directement liés aux MNT ; valoriser la prévention des MNT aux niveaux primaire et secondaire ; et renforcer les bases de données pour garantir l'efficacité des programmes.</w:t>
      </w:r>
      <w:r w:rsidRPr="00095933">
        <w:rPr>
          <w:rStyle w:val="FootnoteReference"/>
          <w:lang w:val="fr"/>
        </w:rPr>
        <w:footnoteReference w:id="1"/>
      </w:r>
      <w:r w:rsidRPr="00095933">
        <w:rPr>
          <w:lang w:val="fr"/>
        </w:rPr>
        <w:t xml:space="preserve"> Afin d'aider les pays à assurer un suivi des progrès, l’Alliance océanienne de surveillance pour la lutte contre les MNT (MANA) a élaboré le Tableau de bord pour la lutte contre les MNT et est convenue de présenter un compte rendu lors de chaque réunion des ministres de la santé des pays océaniens. </w:t>
      </w:r>
    </w:p>
    <w:p w14:paraId="0EFA318B" w14:textId="7B9905D0" w:rsidR="004F72F9" w:rsidRPr="00095933" w:rsidRDefault="000726FE" w:rsidP="00B7168F">
      <w:pPr>
        <w:rPr>
          <w:lang w:val="fr-FR"/>
        </w:rPr>
      </w:pPr>
      <w:r w:rsidRPr="00095933">
        <w:rPr>
          <w:lang w:val="fr"/>
        </w:rPr>
        <w:t xml:space="preserve">Ce document synthétise les avancées de la </w:t>
      </w:r>
      <w:r w:rsidR="003352A3">
        <w:rPr>
          <w:lang w:val="fr"/>
        </w:rPr>
        <w:t>mise en œuvre</w:t>
      </w:r>
      <w:r w:rsidRPr="00095933">
        <w:rPr>
          <w:lang w:val="fr"/>
        </w:rPr>
        <w:t xml:space="preserve"> de la Feuille de route sur les MNT, ainsi que suivies au travers du Tableau de bord pour la lutte contre les MNT et du rapport établi par MANA (cf. Annexe), et les enjeux et recommandations présentés pour intensifier la lutte contre les MNT. Les progrès accomplis depuis l'adoption des tableaux de bord nationaux en 2018 ne sont pas reflétés dans ce document. </w:t>
      </w:r>
    </w:p>
    <w:p w14:paraId="5818B108" w14:textId="051CBADA" w:rsidR="009E0188" w:rsidRPr="009B4C8C" w:rsidRDefault="00BD60F7" w:rsidP="00B7168F">
      <w:pPr>
        <w:pStyle w:val="Heading1"/>
        <w:rPr>
          <w:lang w:val="fr-FR"/>
        </w:rPr>
      </w:pPr>
      <w:r>
        <w:rPr>
          <w:lang w:val="fr"/>
        </w:rPr>
        <w:t xml:space="preserve">2.  PROGRÈS ET RÉALISATIONS </w:t>
      </w:r>
    </w:p>
    <w:p w14:paraId="464C5DF1" w14:textId="21FCD3E2" w:rsidR="00C9681C" w:rsidRPr="003352A3" w:rsidRDefault="00C9681C" w:rsidP="00D2206F">
      <w:pPr>
        <w:pStyle w:val="Heading2"/>
        <w:rPr>
          <w:lang w:val="fr-FR"/>
        </w:rPr>
      </w:pPr>
      <w:r w:rsidRPr="003352A3">
        <w:rPr>
          <w:lang w:val="fr"/>
        </w:rPr>
        <w:t xml:space="preserve">2.1 Leadership et gouvernance  </w:t>
      </w:r>
    </w:p>
    <w:p w14:paraId="35F130B7" w14:textId="1663FD16" w:rsidR="00C9681C" w:rsidRPr="003352A3" w:rsidRDefault="00411B77" w:rsidP="00B7168F">
      <w:pPr>
        <w:rPr>
          <w:lang w:val="fr-FR"/>
        </w:rPr>
      </w:pPr>
      <w:r w:rsidRPr="003352A3">
        <w:rPr>
          <w:lang w:val="fr"/>
        </w:rPr>
        <w:t xml:space="preserve">Des 21 </w:t>
      </w:r>
      <w:r w:rsidR="003352A3" w:rsidRPr="003352A3">
        <w:rPr>
          <w:lang w:val="fr"/>
        </w:rPr>
        <w:t>États et Territoires insulaires du Pacifique</w:t>
      </w:r>
      <w:r w:rsidRPr="003352A3">
        <w:rPr>
          <w:lang w:val="fr"/>
        </w:rPr>
        <w:t xml:space="preserve"> inclus dans ce rapport de la MANA, 14 disposent actuellement d'une stratégie nationale multisectorielle sur les MNT, 15 ont établi des indicateurs cibles pour les MNT, et cinq disposent d'un groupe de travail multisectoriel sur les MNT.</w:t>
      </w:r>
    </w:p>
    <w:p w14:paraId="00E6BFC4" w14:textId="7B0A8D68" w:rsidR="00C76263" w:rsidRPr="003352A3" w:rsidRDefault="00082814" w:rsidP="00D2206F">
      <w:pPr>
        <w:pStyle w:val="Heading2"/>
        <w:rPr>
          <w:lang w:val="fr-FR"/>
        </w:rPr>
      </w:pPr>
      <w:r w:rsidRPr="003352A3">
        <w:rPr>
          <w:lang w:val="fr"/>
        </w:rPr>
        <w:t xml:space="preserve">2.2 Politiques et législation préventives </w:t>
      </w:r>
    </w:p>
    <w:p w14:paraId="1A4DF525" w14:textId="0F43D8F4" w:rsidR="008D2BC8" w:rsidRPr="009B4C8C" w:rsidRDefault="00596916" w:rsidP="00B7168F">
      <w:pPr>
        <w:rPr>
          <w:highlight w:val="yellow"/>
          <w:lang w:val="fr-FR"/>
        </w:rPr>
      </w:pPr>
      <w:r w:rsidRPr="003352A3">
        <w:rPr>
          <w:b/>
          <w:bCs/>
          <w:lang w:val="fr"/>
        </w:rPr>
        <w:t xml:space="preserve">Mesures fiscales </w:t>
      </w:r>
      <w:r w:rsidRPr="003352A3">
        <w:rPr>
          <w:lang w:val="fr"/>
        </w:rPr>
        <w:t xml:space="preserve">La plupart des </w:t>
      </w:r>
      <w:r w:rsidR="003352A3" w:rsidRPr="003352A3">
        <w:rPr>
          <w:lang w:val="fr"/>
        </w:rPr>
        <w:t>États et Territoires insulaires du Pacifique</w:t>
      </w:r>
      <w:r w:rsidRPr="003352A3">
        <w:rPr>
          <w:lang w:val="fr"/>
        </w:rPr>
        <w:t xml:space="preserve"> ont mis en place une ou plusieurs mesures fiscales. Depuis l'adoption de la Feuille de route sur les MNT, 16 </w:t>
      </w:r>
      <w:r w:rsidR="003352A3" w:rsidRPr="003352A3">
        <w:rPr>
          <w:lang w:val="fr"/>
        </w:rPr>
        <w:t>États et Territoires insulaires du Pacifique</w:t>
      </w:r>
      <w:r w:rsidRPr="003352A3">
        <w:rPr>
          <w:lang w:val="fr"/>
        </w:rPr>
        <w:t xml:space="preserve"> ont augmenté leurs taxes sur le tabac et 12 ont augmenté </w:t>
      </w:r>
      <w:r w:rsidRPr="003352A3">
        <w:rPr>
          <w:lang w:val="fr"/>
        </w:rPr>
        <w:lastRenderedPageBreak/>
        <w:t xml:space="preserve">leurs taxes sur l'alcool. 14 </w:t>
      </w:r>
      <w:r w:rsidR="003352A3" w:rsidRPr="003352A3">
        <w:rPr>
          <w:lang w:val="fr"/>
        </w:rPr>
        <w:t>États et Territoires insulaires du Pacifique</w:t>
      </w:r>
      <w:r w:rsidRPr="003352A3">
        <w:rPr>
          <w:lang w:val="fr"/>
        </w:rPr>
        <w:t xml:space="preserve"> ont augmenté les taxes sur les aliments et boissons nocifs pour la santé et deux ont également baissé leurs taxes sur les fruits et légumes. </w:t>
      </w:r>
    </w:p>
    <w:p w14:paraId="476A5B7B" w14:textId="623D615C" w:rsidR="00C9681C" w:rsidRPr="003352A3" w:rsidRDefault="008D2BC8" w:rsidP="00B7168F">
      <w:pPr>
        <w:rPr>
          <w:lang w:val="fr-FR"/>
        </w:rPr>
      </w:pPr>
      <w:r w:rsidRPr="003352A3">
        <w:rPr>
          <w:lang w:val="fr"/>
        </w:rPr>
        <w:t xml:space="preserve">18 </w:t>
      </w:r>
      <w:r w:rsidR="003352A3" w:rsidRPr="003352A3">
        <w:rPr>
          <w:lang w:val="fr"/>
        </w:rPr>
        <w:t>États et Territoires insulaires du Pacifique</w:t>
      </w:r>
      <w:r w:rsidRPr="003352A3">
        <w:rPr>
          <w:lang w:val="fr"/>
        </w:rPr>
        <w:t xml:space="preserve"> disposent de mesures fiscales sur le tabac (Code </w:t>
      </w:r>
      <w:proofErr w:type="gramStart"/>
      <w:r w:rsidRPr="003352A3">
        <w:rPr>
          <w:lang w:val="fr"/>
        </w:rPr>
        <w:t xml:space="preserve">vert </w:t>
      </w:r>
      <w:proofErr w:type="gramEnd"/>
      <w:r w:rsidRPr="003352A3">
        <w:rPr>
          <w:rStyle w:val="FootnoteReference"/>
          <w:lang w:val="fr"/>
        </w:rPr>
        <w:footnoteReference w:id="2"/>
      </w:r>
      <w:r w:rsidRPr="003352A3">
        <w:rPr>
          <w:lang w:val="fr"/>
        </w:rPr>
        <w:t xml:space="preserve">), et trois pays ont des mesures en cours d'élaboration (code jaune). 19 </w:t>
      </w:r>
      <w:r w:rsidR="003352A3" w:rsidRPr="003352A3">
        <w:rPr>
          <w:lang w:val="fr"/>
        </w:rPr>
        <w:t>États et Territoires insulaires du Pacifique</w:t>
      </w:r>
      <w:r w:rsidRPr="003352A3">
        <w:rPr>
          <w:lang w:val="fr"/>
        </w:rPr>
        <w:t xml:space="preserve"> ont des mécanismes fiscaux sur l'alcool en place (code vert). 13 </w:t>
      </w:r>
      <w:r w:rsidR="003352A3" w:rsidRPr="003352A3">
        <w:rPr>
          <w:lang w:val="fr"/>
        </w:rPr>
        <w:t>États et Territoires insulaires du Pacifique</w:t>
      </w:r>
      <w:r w:rsidRPr="003352A3">
        <w:rPr>
          <w:lang w:val="fr"/>
        </w:rPr>
        <w:t xml:space="preserve"> disposent de politiques fiscales destinées à décourager les choix d'aliments malsains ; toutefois, seuls quatre d'entre eux présentent des mesures en place 'fortes' (code vert trois étoiles).</w:t>
      </w:r>
    </w:p>
    <w:p w14:paraId="182D6240" w14:textId="6E6AE2A2" w:rsidR="00082814" w:rsidRPr="003352A3" w:rsidRDefault="005C6A0B" w:rsidP="00B7168F">
      <w:pPr>
        <w:rPr>
          <w:lang w:val="fr"/>
        </w:rPr>
      </w:pPr>
      <w:r w:rsidRPr="003352A3">
        <w:rPr>
          <w:b/>
          <w:bCs/>
          <w:lang w:val="fr"/>
        </w:rPr>
        <w:t>Tabac and alcool :</w:t>
      </w:r>
      <w:r w:rsidRPr="003352A3">
        <w:rPr>
          <w:lang w:val="fr"/>
        </w:rPr>
        <w:t xml:space="preserve"> La majorité des </w:t>
      </w:r>
      <w:r w:rsidR="003352A3" w:rsidRPr="003352A3">
        <w:rPr>
          <w:lang w:val="fr"/>
        </w:rPr>
        <w:t>États et Territoires insulaires du Pacifique</w:t>
      </w:r>
      <w:r w:rsidRPr="003352A3">
        <w:rPr>
          <w:lang w:val="fr"/>
        </w:rPr>
        <w:t xml:space="preserve"> ont des </w:t>
      </w:r>
      <w:r w:rsidR="003352A3">
        <w:rPr>
          <w:lang w:val="fr"/>
        </w:rPr>
        <w:t xml:space="preserve">         législations </w:t>
      </w:r>
      <w:r w:rsidRPr="003352A3">
        <w:rPr>
          <w:lang w:val="fr"/>
        </w:rPr>
        <w:t xml:space="preserve">en place pour réglementer les espaces publics </w:t>
      </w:r>
      <w:r w:rsidR="00236935">
        <w:rPr>
          <w:lang w:val="fr"/>
        </w:rPr>
        <w:t>non</w:t>
      </w:r>
      <w:r w:rsidR="00236935">
        <w:rPr>
          <w:lang w:val="fr"/>
        </w:rPr>
        <w:noBreakHyphen/>
      </w:r>
      <w:r w:rsidR="00BB1EE7" w:rsidRPr="003352A3">
        <w:rPr>
          <w:lang w:val="fr"/>
        </w:rPr>
        <w:t>fumeurs</w:t>
      </w:r>
      <w:r w:rsidRPr="003352A3">
        <w:rPr>
          <w:lang w:val="fr"/>
        </w:rPr>
        <w:t xml:space="preserve"> (18 </w:t>
      </w:r>
      <w:r w:rsidR="003352A3" w:rsidRPr="003352A3">
        <w:rPr>
          <w:lang w:val="fr"/>
        </w:rPr>
        <w:t>États et Territoires insulaires du Pacifique</w:t>
      </w:r>
      <w:r w:rsidRPr="003352A3">
        <w:rPr>
          <w:lang w:val="fr"/>
        </w:rPr>
        <w:t xml:space="preserve">), les mises en garde sanitaires sur les emballages des produits du tabac (16 </w:t>
      </w:r>
      <w:r w:rsidR="003352A3" w:rsidRPr="003352A3">
        <w:rPr>
          <w:lang w:val="fr"/>
        </w:rPr>
        <w:t>États et Territoires insulaires du Pacifique</w:t>
      </w:r>
      <w:r w:rsidRPr="003352A3">
        <w:rPr>
          <w:lang w:val="fr"/>
        </w:rPr>
        <w:t xml:space="preserve">), les restrictions sur les ventes et licences d'exploitation du tabac (14 </w:t>
      </w:r>
      <w:r w:rsidR="003352A3" w:rsidRPr="003352A3">
        <w:rPr>
          <w:lang w:val="fr"/>
        </w:rPr>
        <w:t>États et Territoires insulaires du Pacifique</w:t>
      </w:r>
      <w:r w:rsidRPr="003352A3">
        <w:rPr>
          <w:lang w:val="fr"/>
        </w:rPr>
        <w:t xml:space="preserve">), et les restrictions sur la publicité, la promotion et le sponsoring du tabac (17 </w:t>
      </w:r>
      <w:r w:rsidR="003352A3" w:rsidRPr="003352A3">
        <w:rPr>
          <w:lang w:val="fr"/>
        </w:rPr>
        <w:t>États et Territoires insulaires du Pacifique</w:t>
      </w:r>
      <w:r w:rsidRPr="003352A3">
        <w:rPr>
          <w:lang w:val="fr"/>
        </w:rPr>
        <w:t xml:space="preserve">). La plupart des pays disposent de réglementations nationales sur les licences d'exploitation afin de restreindre la vente d'alcool et de lois de pays pour lutter contre l'alcool au volant. </w:t>
      </w:r>
    </w:p>
    <w:p w14:paraId="5E6CEBE5" w14:textId="2D331C97" w:rsidR="00C9681C" w:rsidRPr="00D20A66" w:rsidRDefault="005C6A0B" w:rsidP="00B7168F">
      <w:pPr>
        <w:rPr>
          <w:lang w:val="fr-FR"/>
        </w:rPr>
      </w:pPr>
      <w:r w:rsidRPr="00D20A66">
        <w:rPr>
          <w:b/>
          <w:bCs/>
          <w:lang w:val="fr"/>
        </w:rPr>
        <w:t>Régime alimentaire et activité physique :</w:t>
      </w:r>
      <w:r w:rsidRPr="00D20A66">
        <w:rPr>
          <w:lang w:val="fr"/>
        </w:rPr>
        <w:t xml:space="preserve"> 14 </w:t>
      </w:r>
      <w:r w:rsidR="003352A3" w:rsidRPr="00D20A66">
        <w:rPr>
          <w:lang w:val="fr"/>
        </w:rPr>
        <w:t>États et Territoires insulaires du Pacifique</w:t>
      </w:r>
      <w:r w:rsidRPr="00D20A66">
        <w:rPr>
          <w:lang w:val="fr"/>
        </w:rPr>
        <w:t xml:space="preserve"> ont mis en place des politiques visant à réduire la consommation de sel de la population, 13 disposent de guides nutritionnels nationaux ciblant les aliments, deux ont des politiques axées sur la restriction de la commercialisation des aliments nocifs pour la santé destinés aux enfants, et 11 ont des politiques/lignes directrices pour encourager une alimentation saine dans les services de restauration offerts au sein des établissements scolaires. 14 pays ont inclus l'activité physique comme composante obligatoire du programme scolaire.</w:t>
      </w:r>
    </w:p>
    <w:p w14:paraId="5D346AF9" w14:textId="248A72DE" w:rsidR="00082814" w:rsidRPr="00D20A66" w:rsidRDefault="00AA6C78" w:rsidP="00B7168F">
      <w:pPr>
        <w:rPr>
          <w:lang w:val="fr-FR"/>
        </w:rPr>
      </w:pPr>
      <w:r w:rsidRPr="00D20A66">
        <w:rPr>
          <w:b/>
          <w:bCs/>
          <w:lang w:val="fr"/>
        </w:rPr>
        <w:t>Application :</w:t>
      </w:r>
      <w:r w:rsidRPr="00D20A66">
        <w:rPr>
          <w:lang w:val="fr"/>
        </w:rPr>
        <w:t xml:space="preserve"> 14 pays ont un système gouvernemental en place pour appuyer l'application de la législation sur le tabac, l'alcool, l'alimentation et/ou la noix de bétel.</w:t>
      </w:r>
    </w:p>
    <w:p w14:paraId="3EF8C4DF" w14:textId="77777777" w:rsidR="00C67591" w:rsidRPr="00D20A66" w:rsidRDefault="00C67591" w:rsidP="00D2206F">
      <w:pPr>
        <w:pStyle w:val="Heading2"/>
        <w:rPr>
          <w:lang w:val="fr-FR"/>
        </w:rPr>
      </w:pPr>
      <w:r w:rsidRPr="00D20A66">
        <w:rPr>
          <w:lang w:val="fr"/>
        </w:rPr>
        <w:t xml:space="preserve">2.3 Réponse des systèmes de santé     </w:t>
      </w:r>
    </w:p>
    <w:p w14:paraId="31339CAF" w14:textId="0C48D92B" w:rsidR="00082814" w:rsidRPr="009B4C8C" w:rsidRDefault="00C9681C" w:rsidP="00B7168F">
      <w:pPr>
        <w:rPr>
          <w:highlight w:val="yellow"/>
          <w:lang w:val="fr-FR"/>
        </w:rPr>
      </w:pPr>
      <w:r w:rsidRPr="00D20A66">
        <w:rPr>
          <w:lang w:val="fr"/>
        </w:rPr>
        <w:t xml:space="preserve">La plupart des </w:t>
      </w:r>
      <w:r w:rsidR="003352A3" w:rsidRPr="00D20A66">
        <w:rPr>
          <w:lang w:val="fr"/>
        </w:rPr>
        <w:t>États et Territoires insulaires du Pacifique</w:t>
      </w:r>
      <w:r w:rsidRPr="00D20A66">
        <w:rPr>
          <w:lang w:val="fr"/>
        </w:rPr>
        <w:t xml:space="preserve"> disposent de directives nationales en place pour le diagnostic et la gestion d'au moins une des quatre principales MNT (maladie cardiovasculaire, </w:t>
      </w:r>
      <w:r w:rsidRPr="00D20A66">
        <w:rPr>
          <w:lang w:val="fr"/>
        </w:rPr>
        <w:lastRenderedPageBreak/>
        <w:t xml:space="preserve">diabète, cancer et maladies respiratoires chroniques). 15 des 21 </w:t>
      </w:r>
      <w:r w:rsidR="003352A3" w:rsidRPr="00D20A66">
        <w:rPr>
          <w:lang w:val="fr"/>
        </w:rPr>
        <w:t>États et Territoires insulaires du Pacifique</w:t>
      </w:r>
      <w:r w:rsidRPr="00D20A66">
        <w:rPr>
          <w:lang w:val="fr"/>
        </w:rPr>
        <w:t xml:space="preserve"> ont tous les médicaments disponibles figurant sur la liste nationale des médicaments essentiels pour traiter les MNT, et d'un système en place pour assurer un suivi de leur disponibilité. Le soutien en faveur du sevrage tabagique est disponible dans 15 </w:t>
      </w:r>
      <w:r w:rsidR="003352A3" w:rsidRPr="00D20A66">
        <w:rPr>
          <w:lang w:val="fr"/>
        </w:rPr>
        <w:t>États et Territoires insulaires du Pacifique</w:t>
      </w:r>
      <w:r w:rsidRPr="00D20A66">
        <w:rPr>
          <w:lang w:val="fr"/>
        </w:rPr>
        <w:t xml:space="preserve">.  Sept </w:t>
      </w:r>
      <w:r w:rsidR="003352A3" w:rsidRPr="00D20A66">
        <w:rPr>
          <w:lang w:val="fr"/>
        </w:rPr>
        <w:t>États et Territoires insulaires du Pacifique</w:t>
      </w:r>
      <w:r w:rsidRPr="00D20A66">
        <w:rPr>
          <w:lang w:val="fr"/>
        </w:rPr>
        <w:t xml:space="preserve"> appliquent des restrictions sur les substituts du lait maternel, six disposent d'au moins un hôpital certifié amis des bébés, et huit </w:t>
      </w:r>
      <w:r w:rsidR="003352A3" w:rsidRPr="00D20A66">
        <w:rPr>
          <w:lang w:val="fr"/>
        </w:rPr>
        <w:t>États et Territoires insulaires du Pacifique</w:t>
      </w:r>
      <w:r w:rsidRPr="00D20A66">
        <w:rPr>
          <w:lang w:val="fr"/>
        </w:rPr>
        <w:t xml:space="preserve"> ont une législation en place donnant droit à au moins 12 semaines de congé maternité à plein salaire.  </w:t>
      </w:r>
    </w:p>
    <w:p w14:paraId="240EBB98" w14:textId="77777777" w:rsidR="00234B1C" w:rsidRPr="00D20A66" w:rsidRDefault="00DF430D" w:rsidP="00D2206F">
      <w:pPr>
        <w:pStyle w:val="Heading2"/>
        <w:rPr>
          <w:lang w:val="fr-FR"/>
        </w:rPr>
      </w:pPr>
      <w:r w:rsidRPr="00D20A66">
        <w:rPr>
          <w:lang w:val="fr"/>
        </w:rPr>
        <w:t xml:space="preserve">2.4 Suivi   </w:t>
      </w:r>
    </w:p>
    <w:p w14:paraId="643F7DC6" w14:textId="0DF4C5FF" w:rsidR="00C9681C" w:rsidRPr="00D20A66" w:rsidRDefault="00997965" w:rsidP="00D2206F">
      <w:pPr>
        <w:spacing w:after="160"/>
        <w:rPr>
          <w:rFonts w:eastAsia="Calibri" w:cs="Times New Roman"/>
          <w:lang w:val="fr-FR"/>
        </w:rPr>
      </w:pPr>
      <w:r w:rsidRPr="00D20A66">
        <w:rPr>
          <w:rFonts w:eastAsia="Calibri" w:cs="Times New Roman"/>
          <w:lang w:val="fr"/>
        </w:rPr>
        <w:t xml:space="preserve">Au cours des cinq dernières années, 16 </w:t>
      </w:r>
      <w:r w:rsidR="003352A3" w:rsidRPr="00D20A66">
        <w:rPr>
          <w:rFonts w:eastAsia="Calibri" w:cs="Times New Roman"/>
          <w:lang w:val="fr"/>
        </w:rPr>
        <w:t>États et Territoires insulaires du Pacifique</w:t>
      </w:r>
      <w:r w:rsidRPr="00D20A66">
        <w:rPr>
          <w:rFonts w:eastAsia="Calibri" w:cs="Times New Roman"/>
          <w:lang w:val="fr"/>
        </w:rPr>
        <w:t xml:space="preserve"> ont collecté des données sur la prévalence du facteur de risque de MNT chez les adultes, et 14 </w:t>
      </w:r>
      <w:r w:rsidR="003352A3" w:rsidRPr="00D20A66">
        <w:rPr>
          <w:rFonts w:eastAsia="Calibri" w:cs="Times New Roman"/>
          <w:lang w:val="fr"/>
        </w:rPr>
        <w:t>États et Territoires insulaires du Pacifique</w:t>
      </w:r>
      <w:r w:rsidRPr="00D20A66">
        <w:rPr>
          <w:rFonts w:eastAsia="Calibri" w:cs="Times New Roman"/>
          <w:lang w:val="fr"/>
        </w:rPr>
        <w:t xml:space="preserve"> ont collecté des données sur la population d'adolescents (13-17 ans). Onze </w:t>
      </w:r>
      <w:r w:rsidR="003352A3" w:rsidRPr="00D20A66">
        <w:rPr>
          <w:rFonts w:eastAsia="Calibri" w:cs="Times New Roman"/>
          <w:lang w:val="fr"/>
        </w:rPr>
        <w:t>États et Territoires insulaires du Pacifique</w:t>
      </w:r>
      <w:r w:rsidRPr="00D20A66">
        <w:rPr>
          <w:rFonts w:eastAsia="Calibri" w:cs="Times New Roman"/>
          <w:lang w:val="fr"/>
        </w:rPr>
        <w:t xml:space="preserve"> ont collecté et présenté des données sur la croissance de l'enfant sur une base régulière, et la grande majorité ont créé des systèmes pour consigner systématiquement la cause spécifique de mortalité. L'ensemble des 21 </w:t>
      </w:r>
      <w:r w:rsidR="003352A3" w:rsidRPr="00D20A66">
        <w:rPr>
          <w:rFonts w:eastAsia="Calibri" w:cs="Times New Roman"/>
          <w:lang w:val="fr"/>
        </w:rPr>
        <w:t>États et Territoires insulaires du Pacifique</w:t>
      </w:r>
      <w:r w:rsidRPr="00D20A66">
        <w:rPr>
          <w:rFonts w:eastAsia="Calibri" w:cs="Times New Roman"/>
          <w:lang w:val="fr"/>
        </w:rPr>
        <w:t xml:space="preserve"> ont finalisé leurs tableaux de bord nationaux. </w:t>
      </w:r>
    </w:p>
    <w:p w14:paraId="72C900AC" w14:textId="35BF64F0" w:rsidR="00E2631E" w:rsidRPr="009B4C8C" w:rsidRDefault="00CA0B89" w:rsidP="00B7168F">
      <w:pPr>
        <w:pStyle w:val="Heading1"/>
        <w:rPr>
          <w:lang w:val="fr-FR"/>
        </w:rPr>
      </w:pPr>
      <w:r>
        <w:rPr>
          <w:lang w:val="fr"/>
        </w:rPr>
        <w:t xml:space="preserve">3.  </w:t>
      </w:r>
      <w:r w:rsidR="00D20A66">
        <w:rPr>
          <w:lang w:val="fr"/>
        </w:rPr>
        <w:t>D</w:t>
      </w:r>
      <w:r w:rsidR="00D20A66">
        <w:rPr>
          <w:rFonts w:cs="Times New Roman"/>
          <w:lang w:val="fr"/>
        </w:rPr>
        <w:t>É</w:t>
      </w:r>
      <w:r w:rsidR="00D20A66">
        <w:rPr>
          <w:lang w:val="fr"/>
        </w:rPr>
        <w:t>FIS</w:t>
      </w:r>
      <w:r>
        <w:rPr>
          <w:lang w:val="fr"/>
        </w:rPr>
        <w:t xml:space="preserve"> </w:t>
      </w:r>
    </w:p>
    <w:p w14:paraId="242BCE55" w14:textId="628D9CE0" w:rsidR="00BD5224" w:rsidRPr="00D20A66" w:rsidRDefault="003E0892" w:rsidP="00D2206F">
      <w:pPr>
        <w:pStyle w:val="Heading2"/>
        <w:rPr>
          <w:lang w:val="fr-FR"/>
        </w:rPr>
      </w:pPr>
      <w:r w:rsidRPr="00D20A66">
        <w:rPr>
          <w:lang w:val="fr"/>
        </w:rPr>
        <w:t xml:space="preserve">3.1 Leadership et gouvernance </w:t>
      </w:r>
    </w:p>
    <w:p w14:paraId="2B448DC8" w14:textId="48D22CEA" w:rsidR="00982511" w:rsidRPr="00D20A66" w:rsidRDefault="00982511" w:rsidP="00B7168F">
      <w:pPr>
        <w:spacing w:after="0"/>
        <w:ind w:right="57"/>
        <w:rPr>
          <w:rFonts w:cs="Times New Roman"/>
          <w:lang w:val="fr-FR"/>
        </w:rPr>
      </w:pPr>
      <w:r w:rsidRPr="00D20A66">
        <w:rPr>
          <w:rFonts w:cs="Times New Roman"/>
          <w:lang w:val="fr"/>
        </w:rPr>
        <w:t xml:space="preserve">Malgré des engagements pris au plan régional, des efforts substantiels sont toujours requis pour renforcer le leadership et la gouvernance à l'échelon national. Par exemple, seuls quelques </w:t>
      </w:r>
      <w:r w:rsidR="003352A3" w:rsidRPr="00D20A66">
        <w:rPr>
          <w:rFonts w:cs="Times New Roman"/>
          <w:lang w:val="fr"/>
        </w:rPr>
        <w:t>États et Territoires insulaires du Pacifique</w:t>
      </w:r>
      <w:r w:rsidRPr="00D20A66">
        <w:rPr>
          <w:rFonts w:cs="Times New Roman"/>
          <w:lang w:val="fr"/>
        </w:rPr>
        <w:t xml:space="preserve"> disposent d'un groupe de travail multisectoriel sur les MNT pour diriger la </w:t>
      </w:r>
      <w:r w:rsidR="003352A3" w:rsidRPr="00D20A66">
        <w:rPr>
          <w:rFonts w:cs="Times New Roman"/>
          <w:lang w:val="fr"/>
        </w:rPr>
        <w:t>mise en œuvre</w:t>
      </w:r>
      <w:r w:rsidRPr="00D20A66">
        <w:rPr>
          <w:rFonts w:cs="Times New Roman"/>
          <w:lang w:val="fr"/>
        </w:rPr>
        <w:t xml:space="preserve"> du plan multisectoriel national sur les MNT, et l'engagement des secteurs autres que la santé demeure à ce jour limité. </w:t>
      </w:r>
    </w:p>
    <w:p w14:paraId="7FFFFB9B" w14:textId="6DC839FA" w:rsidR="00BD5224" w:rsidRPr="00D20A66" w:rsidRDefault="003E0892" w:rsidP="00D2206F">
      <w:pPr>
        <w:pStyle w:val="Heading2"/>
        <w:rPr>
          <w:lang w:val="fr-FR"/>
        </w:rPr>
      </w:pPr>
      <w:r w:rsidRPr="00D20A66">
        <w:rPr>
          <w:lang w:val="fr"/>
        </w:rPr>
        <w:t xml:space="preserve">3.2 Politiques et législation préventives  </w:t>
      </w:r>
    </w:p>
    <w:p w14:paraId="1ACBA5EC" w14:textId="55B5BD0D" w:rsidR="00D664C4" w:rsidRPr="009B4C8C" w:rsidRDefault="00D72508" w:rsidP="00B7168F">
      <w:pPr>
        <w:rPr>
          <w:highlight w:val="yellow"/>
          <w:lang w:val="fr-FR"/>
        </w:rPr>
      </w:pPr>
      <w:r w:rsidRPr="00D20A66">
        <w:rPr>
          <w:lang w:val="fr"/>
        </w:rPr>
        <w:t xml:space="preserve">De bonnes avancées ont été obtenues sur le renforcement des mesures fiscales dans les </w:t>
      </w:r>
      <w:r w:rsidR="003352A3" w:rsidRPr="00D20A66">
        <w:rPr>
          <w:lang w:val="fr"/>
        </w:rPr>
        <w:t>États et Territoires insulaires du Pacifique</w:t>
      </w:r>
      <w:r w:rsidRPr="00D20A66">
        <w:rPr>
          <w:lang w:val="fr"/>
        </w:rPr>
        <w:t xml:space="preserve"> ; il existe néanmoins la nécessité d'une hausse supplémentaire des taxes (en accord avec les recommandations internationales). Alors que de solides politiques et législations sont en place dans certaines zones, il subsiste plusieurs lacunes sur ces deux aspects qui remettent en cause la lutte contre les MNT.  Par exemple, aucun pays insulaires océanien n'a de politique, de législation ou d'initiative en place pour empêcher l'ingérence des professionnels du secteur du tabac ou pour limiter les gras trans dans l'approvisionnement alimentaire, et seuls </w:t>
      </w:r>
      <w:r w:rsidRPr="00D20A66">
        <w:rPr>
          <w:lang w:val="fr"/>
        </w:rPr>
        <w:lastRenderedPageBreak/>
        <w:t>quelques</w:t>
      </w:r>
      <w:r w:rsidR="00D20A66" w:rsidRPr="00D20A66">
        <w:rPr>
          <w:lang w:val="fr"/>
        </w:rPr>
        <w:noBreakHyphen/>
      </w:r>
      <w:r w:rsidRPr="00D20A66">
        <w:rPr>
          <w:lang w:val="fr"/>
        </w:rPr>
        <w:t xml:space="preserve">uns disposent de réglementations sur la publicité pour l'alcool. L'ingérence des professionnels du secteur peut anéantir les efforts de renforcement des politiques et de la législation. D'autres enjeux qui appellent à une attention nationale urgente </w:t>
      </w:r>
      <w:proofErr w:type="gramStart"/>
      <w:r w:rsidRPr="00D20A66">
        <w:rPr>
          <w:lang w:val="fr"/>
        </w:rPr>
        <w:t>inclut</w:t>
      </w:r>
      <w:proofErr w:type="gramEnd"/>
      <w:r w:rsidRPr="00D20A66">
        <w:rPr>
          <w:lang w:val="fr"/>
        </w:rPr>
        <w:t xml:space="preserve"> la restriction de la commercialisation des aliments et boissons malsains destinés aux enfants ainsi que l'application des politiques et législations.   </w:t>
      </w:r>
    </w:p>
    <w:p w14:paraId="11A901D7" w14:textId="35652EA5" w:rsidR="00BD5224" w:rsidRPr="000D2F03" w:rsidRDefault="003E0892" w:rsidP="00B7168F">
      <w:pPr>
        <w:pStyle w:val="Heading2"/>
        <w:rPr>
          <w:lang w:val="fr-FR"/>
        </w:rPr>
      </w:pPr>
      <w:r w:rsidRPr="000D2F03">
        <w:rPr>
          <w:lang w:val="fr"/>
        </w:rPr>
        <w:t xml:space="preserve">3.3 Réponse des systèmes de santé    </w:t>
      </w:r>
    </w:p>
    <w:p w14:paraId="071315D3" w14:textId="3B8AE976" w:rsidR="0079722D" w:rsidRPr="000D2F03" w:rsidRDefault="003123CB" w:rsidP="00B7168F">
      <w:pPr>
        <w:rPr>
          <w:lang w:val="fr-FR"/>
        </w:rPr>
      </w:pPr>
      <w:r w:rsidRPr="000D2F03">
        <w:rPr>
          <w:lang w:val="fr"/>
        </w:rPr>
        <w:t xml:space="preserve">De nombreux </w:t>
      </w:r>
      <w:r w:rsidR="003352A3" w:rsidRPr="000D2F03">
        <w:rPr>
          <w:lang w:val="fr"/>
        </w:rPr>
        <w:t>États et Territoires insulaires du Pacifique</w:t>
      </w:r>
      <w:r w:rsidRPr="000D2F03">
        <w:rPr>
          <w:lang w:val="fr"/>
        </w:rPr>
        <w:t xml:space="preserve"> ne disposent pas des ressources suffisantes -médicaments, équipement et personnel - pour garantir que l'</w:t>
      </w:r>
      <w:hyperlink r:id="rId10" w:history="1">
        <w:r w:rsidRPr="000D2F03">
          <w:rPr>
            <w:rStyle w:val="Hyperlink"/>
            <w:lang w:val="fr"/>
          </w:rPr>
          <w:t>ensemble OMS d’interventions essentielles ciblant les MNT</w:t>
        </w:r>
      </w:hyperlink>
      <w:r w:rsidR="00C5690F" w:rsidRPr="000D2F03">
        <w:rPr>
          <w:rStyle w:val="Hyperlink"/>
          <w:u w:val="none"/>
          <w:lang w:val="fr"/>
        </w:rPr>
        <w:t xml:space="preserve"> </w:t>
      </w:r>
      <w:r w:rsidRPr="000D2F03">
        <w:rPr>
          <w:lang w:val="fr"/>
        </w:rPr>
        <w:t xml:space="preserve">pour les soins de santé primaires (PEN ou équivalent) puisse être intégralement mis en </w:t>
      </w:r>
      <w:r w:rsidR="00EA2342" w:rsidRPr="000D2F03">
        <w:rPr>
          <w:lang w:val="fr"/>
        </w:rPr>
        <w:t>œuvre</w:t>
      </w:r>
      <w:r w:rsidRPr="000D2F03">
        <w:rPr>
          <w:lang w:val="fr"/>
        </w:rPr>
        <w:t xml:space="preserve"> afin d'obtenir l'impact optimal en matière sanitaire. Il existe des domaines où peu </w:t>
      </w:r>
      <w:r w:rsidR="000D2F03" w:rsidRPr="000D2F03">
        <w:rPr>
          <w:lang w:val="fr"/>
        </w:rPr>
        <w:t>d'États</w:t>
      </w:r>
      <w:r w:rsidR="003352A3" w:rsidRPr="000D2F03">
        <w:rPr>
          <w:lang w:val="fr"/>
        </w:rPr>
        <w:t> et Territoires insulaires du Pacifique</w:t>
      </w:r>
      <w:r w:rsidRPr="000D2F03">
        <w:rPr>
          <w:lang w:val="fr"/>
        </w:rPr>
        <w:t xml:space="preserve"> ont établi de politiques pour lutter contre l'obésité de l'enfant, par exemple, par la restriction de la commercialisation des substituts du lait maternel, par des hôpitaux certifiés amis des bébés, et la fourniture d'installations d'allaitement. </w:t>
      </w:r>
    </w:p>
    <w:p w14:paraId="0238E5A5" w14:textId="05BB4F7B" w:rsidR="00BD5224" w:rsidRPr="00002867" w:rsidRDefault="003E0892" w:rsidP="00D2206F">
      <w:pPr>
        <w:pStyle w:val="Heading2"/>
        <w:rPr>
          <w:lang w:val="fr-FR"/>
        </w:rPr>
      </w:pPr>
      <w:r w:rsidRPr="00002867">
        <w:rPr>
          <w:lang w:val="fr"/>
        </w:rPr>
        <w:t xml:space="preserve">3.4 Suivi   </w:t>
      </w:r>
    </w:p>
    <w:p w14:paraId="5BCEA1F0" w14:textId="3AA43216" w:rsidR="00DA5A4B" w:rsidRPr="00002867" w:rsidRDefault="004D6F8A" w:rsidP="00B7168F">
      <w:pPr>
        <w:rPr>
          <w:lang w:val="fr-FR"/>
        </w:rPr>
      </w:pPr>
      <w:r w:rsidRPr="00002867">
        <w:rPr>
          <w:lang w:val="fr"/>
        </w:rPr>
        <w:t xml:space="preserve">Il est important que les </w:t>
      </w:r>
      <w:r w:rsidR="003352A3" w:rsidRPr="00002867">
        <w:rPr>
          <w:lang w:val="fr"/>
        </w:rPr>
        <w:t>États et Territoires insulaires du Pacifique</w:t>
      </w:r>
      <w:r w:rsidRPr="00002867">
        <w:rPr>
          <w:lang w:val="fr"/>
        </w:rPr>
        <w:t xml:space="preserve"> continuent de planifier des études appropriées sur les MNT et de surveiller les tendances des populations.  Il n'existe pas de besoin de renforcer les mécanismes de suivi de la croissance de l'enfant et de publier ces données pour surveiller les tendances chez les enfants en surpoids ou en insuffisance pondérale dans les </w:t>
      </w:r>
      <w:r w:rsidR="003352A3" w:rsidRPr="00002867">
        <w:rPr>
          <w:lang w:val="fr"/>
        </w:rPr>
        <w:t>États et Territoires insulaires du Pacifique</w:t>
      </w:r>
      <w:r w:rsidRPr="00002867">
        <w:rPr>
          <w:lang w:val="fr"/>
        </w:rPr>
        <w:t>. Les recherches opérationnelles sur les études d'impact pour renforcer les base</w:t>
      </w:r>
      <w:r w:rsidR="00C5690F" w:rsidRPr="00002867">
        <w:rPr>
          <w:lang w:val="fr"/>
        </w:rPr>
        <w:t>s</w:t>
      </w:r>
      <w:r w:rsidRPr="00002867">
        <w:rPr>
          <w:lang w:val="fr"/>
        </w:rPr>
        <w:t xml:space="preserve"> de données sur les besoins en interventions ciblant les MNT doivent être renforcées.  </w:t>
      </w:r>
    </w:p>
    <w:p w14:paraId="68B5E7CA" w14:textId="53C230F0" w:rsidR="00A5216F" w:rsidRPr="00173575" w:rsidRDefault="00A5216F">
      <w:pPr>
        <w:spacing w:after="200" w:line="276" w:lineRule="auto"/>
        <w:jc w:val="left"/>
        <w:rPr>
          <w:rFonts w:eastAsiaTheme="majorEastAsia" w:cs="Times New Roman (Headings CS)"/>
          <w:b/>
          <w:bCs/>
          <w:caps/>
          <w:color w:val="000000" w:themeColor="text1"/>
          <w:szCs w:val="28"/>
          <w:highlight w:val="yellow"/>
          <w:lang w:val="fr-FR"/>
        </w:rPr>
      </w:pPr>
    </w:p>
    <w:p w14:paraId="21275A78" w14:textId="07732DEF" w:rsidR="00CA0B89" w:rsidRPr="009B4C8C" w:rsidRDefault="00CA0B89">
      <w:pPr>
        <w:pStyle w:val="Heading1"/>
        <w:rPr>
          <w:lang w:val="fr-FR"/>
        </w:rPr>
      </w:pPr>
      <w:r>
        <w:rPr>
          <w:lang w:val="fr"/>
        </w:rPr>
        <w:t xml:space="preserve">4.  ORIENTATIONS FUTURES </w:t>
      </w:r>
    </w:p>
    <w:p w14:paraId="41A01D84" w14:textId="29BC9288" w:rsidR="00BE1590" w:rsidRPr="009B4C8C" w:rsidRDefault="00BE1590">
      <w:pPr>
        <w:pStyle w:val="Heading2"/>
        <w:rPr>
          <w:lang w:val="fr-FR"/>
        </w:rPr>
      </w:pPr>
      <w:r>
        <w:rPr>
          <w:lang w:val="fr"/>
        </w:rPr>
        <w:t>4.1 Recommandations à l'intention des pouvoirs publics</w:t>
      </w:r>
    </w:p>
    <w:p w14:paraId="7F0ECC30" w14:textId="7E38C294" w:rsidR="008F5E3B" w:rsidRPr="009B4C8C" w:rsidRDefault="00143F3B" w:rsidP="00495E6A">
      <w:pPr>
        <w:rPr>
          <w:lang w:val="fr-FR"/>
        </w:rPr>
      </w:pPr>
      <w:r>
        <w:rPr>
          <w:lang w:val="fr"/>
        </w:rPr>
        <w:t>Les ministres de la santé sont invités à :</w:t>
      </w:r>
    </w:p>
    <w:p w14:paraId="60DBB2B1" w14:textId="673811BB" w:rsidR="008F5E3B" w:rsidRPr="00002867" w:rsidRDefault="00A5216F" w:rsidP="00495E6A">
      <w:pPr>
        <w:pStyle w:val="ListParagraph"/>
        <w:numPr>
          <w:ilvl w:val="0"/>
          <w:numId w:val="2"/>
        </w:numPr>
        <w:rPr>
          <w:lang w:val="fr-FR"/>
        </w:rPr>
      </w:pPr>
      <w:r w:rsidRPr="00002867">
        <w:rPr>
          <w:lang w:val="fr"/>
        </w:rPr>
        <w:t xml:space="preserve">s'assurer que les </w:t>
      </w:r>
      <w:r w:rsidR="003352A3" w:rsidRPr="00002867">
        <w:rPr>
          <w:lang w:val="fr"/>
        </w:rPr>
        <w:t>États et Territoires insulaires du Pacifique</w:t>
      </w:r>
      <w:r w:rsidRPr="00002867">
        <w:rPr>
          <w:lang w:val="fr"/>
        </w:rPr>
        <w:t xml:space="preserve"> disposent d'un plan et de priorités stratégiques ciblant les MNT, avec des indicateurs et des délais clairement définis ;</w:t>
      </w:r>
    </w:p>
    <w:p w14:paraId="67632317" w14:textId="6FC4DEFF" w:rsidR="008F5E3B" w:rsidRPr="00002867" w:rsidRDefault="00A5216F" w:rsidP="00495E6A">
      <w:pPr>
        <w:pStyle w:val="ListParagraph"/>
        <w:numPr>
          <w:ilvl w:val="0"/>
          <w:numId w:val="2"/>
        </w:numPr>
        <w:rPr>
          <w:lang w:val="fr-FR"/>
        </w:rPr>
      </w:pPr>
      <w:r w:rsidRPr="00002867">
        <w:rPr>
          <w:lang w:val="fr"/>
        </w:rPr>
        <w:t xml:space="preserve">s'engagent à élaborer ou à maintenir un groupe de travail multisectoriel actif sur les NCD ; </w:t>
      </w:r>
    </w:p>
    <w:p w14:paraId="2A8F765D" w14:textId="6D4B43D3" w:rsidR="00B7168F" w:rsidRPr="00002867" w:rsidRDefault="00A5216F" w:rsidP="005A50A6">
      <w:pPr>
        <w:pStyle w:val="ListParagraph"/>
        <w:rPr>
          <w:lang w:val="fr-FR"/>
        </w:rPr>
      </w:pPr>
      <w:proofErr w:type="gramStart"/>
      <w:r w:rsidRPr="00002867">
        <w:rPr>
          <w:lang w:val="fr"/>
        </w:rPr>
        <w:lastRenderedPageBreak/>
        <w:t>adopter</w:t>
      </w:r>
      <w:proofErr w:type="gramEnd"/>
      <w:r w:rsidRPr="00002867">
        <w:rPr>
          <w:lang w:val="fr"/>
        </w:rPr>
        <w:t xml:space="preserve"> le rapport régional de la MANA, </w:t>
      </w:r>
      <w:r w:rsidR="003455B8">
        <w:rPr>
          <w:lang w:val="fr"/>
        </w:rPr>
        <w:t>Statut</w:t>
      </w:r>
      <w:r w:rsidRPr="00002867">
        <w:rPr>
          <w:lang w:val="fr"/>
        </w:rPr>
        <w:t xml:space="preserve"> des politiques et de la législation sur les maladies non transmissibles dans les </w:t>
      </w:r>
      <w:r w:rsidR="00002867">
        <w:rPr>
          <w:lang w:val="fr"/>
        </w:rPr>
        <w:t>États et Territoires insulaires du Pacifique</w:t>
      </w:r>
      <w:r w:rsidRPr="00002867">
        <w:rPr>
          <w:lang w:val="fr"/>
        </w:rPr>
        <w:t>, 2018. (cf. Annexe) ; et</w:t>
      </w:r>
    </w:p>
    <w:p w14:paraId="352A3AD0" w14:textId="26D8B943" w:rsidR="00F03696" w:rsidRPr="00002867" w:rsidRDefault="00A5216F" w:rsidP="00CE37ED">
      <w:pPr>
        <w:pStyle w:val="ListParagraph"/>
        <w:numPr>
          <w:ilvl w:val="0"/>
          <w:numId w:val="5"/>
        </w:numPr>
        <w:rPr>
          <w:lang w:val="fr-FR"/>
        </w:rPr>
      </w:pPr>
      <w:r w:rsidRPr="00002867">
        <w:rPr>
          <w:lang w:val="fr"/>
        </w:rPr>
        <w:t xml:space="preserve">utiliser le Tableau de bord pour la lutte contre les MNT à l'échelon national afin de </w:t>
      </w:r>
      <w:r w:rsidR="00030983" w:rsidRPr="00002867">
        <w:rPr>
          <w:lang w:val="fr"/>
        </w:rPr>
        <w:t>prioriser</w:t>
      </w:r>
      <w:r w:rsidRPr="00002867">
        <w:rPr>
          <w:lang w:val="fr"/>
        </w:rPr>
        <w:t xml:space="preserve"> les actions clés pour l'année suivante, particulièrement dans la prise en compte des lacunes communes dans la région, telles que la mise en place de contrôles de la commercialisation des aliments et boissons non alcoolisées destinés aux enfants, la restriction des gras trans dans l'approvisionnement alimentaire, l'interdiction de toute ingérence des professionnels du secteur du tabac, et la hausse supplémentaire de taxes appliquées aux produits nocifs pour la santé, en accord avec les recommandations internationales. </w:t>
      </w:r>
    </w:p>
    <w:p w14:paraId="369937FB" w14:textId="7BDA495A" w:rsidR="00BE1590" w:rsidRPr="009B4C8C" w:rsidRDefault="005F0C6C" w:rsidP="00D2206F">
      <w:pPr>
        <w:pStyle w:val="Heading2"/>
        <w:rPr>
          <w:lang w:val="fr-FR"/>
        </w:rPr>
      </w:pPr>
      <w:r>
        <w:rPr>
          <w:lang w:val="fr"/>
        </w:rPr>
        <w:t>4.2 Recommandations à l'intention des partenaires de développement :</w:t>
      </w:r>
    </w:p>
    <w:p w14:paraId="46146C2F" w14:textId="6ADD8BD7" w:rsidR="00C63244" w:rsidRPr="00002867" w:rsidRDefault="00C63244" w:rsidP="00495E6A">
      <w:pPr>
        <w:rPr>
          <w:lang w:val="fr-FR"/>
        </w:rPr>
      </w:pPr>
      <w:r w:rsidRPr="00002867">
        <w:rPr>
          <w:lang w:val="fr"/>
        </w:rPr>
        <w:t>Les partenaires de développement sont invités à :</w:t>
      </w:r>
    </w:p>
    <w:p w14:paraId="231D58B9" w14:textId="3B4C3D04" w:rsidR="00C63244" w:rsidRPr="00002867" w:rsidRDefault="00A5216F" w:rsidP="00002867">
      <w:pPr>
        <w:pStyle w:val="ListParagraph"/>
        <w:numPr>
          <w:ilvl w:val="0"/>
          <w:numId w:val="1"/>
        </w:numPr>
        <w:spacing w:after="0"/>
        <w:rPr>
          <w:rFonts w:eastAsia="Calibri" w:cs="Times New Roman"/>
          <w:lang w:val="fr-FR"/>
        </w:rPr>
      </w:pPr>
      <w:r w:rsidRPr="00002867">
        <w:rPr>
          <w:rFonts w:eastAsia="Calibri" w:cs="Times New Roman"/>
          <w:lang w:val="fr"/>
        </w:rPr>
        <w:t xml:space="preserve">appuyer les </w:t>
      </w:r>
      <w:r w:rsidR="003352A3" w:rsidRPr="00002867">
        <w:rPr>
          <w:rFonts w:eastAsia="Calibri" w:cs="Times New Roman"/>
          <w:lang w:val="fr"/>
        </w:rPr>
        <w:t>États et Territoires insulaires du Pacifique</w:t>
      </w:r>
      <w:r w:rsidR="00002867">
        <w:rPr>
          <w:rFonts w:eastAsia="Calibri" w:cs="Times New Roman"/>
          <w:lang w:val="fr"/>
        </w:rPr>
        <w:t xml:space="preserve"> dans l'élaboration des </w:t>
      </w:r>
      <w:r w:rsidRPr="00002867">
        <w:rPr>
          <w:rFonts w:eastAsia="Calibri" w:cs="Times New Roman"/>
          <w:lang w:val="fr"/>
        </w:rPr>
        <w:t xml:space="preserve">politiques/législations préventives et la </w:t>
      </w:r>
      <w:r w:rsidR="00002867">
        <w:rPr>
          <w:rFonts w:eastAsia="Calibri" w:cs="Times New Roman"/>
          <w:lang w:val="fr"/>
        </w:rPr>
        <w:t>mise </w:t>
      </w:r>
      <w:r w:rsidR="003352A3" w:rsidRPr="00002867">
        <w:rPr>
          <w:rFonts w:eastAsia="Calibri" w:cs="Times New Roman"/>
          <w:lang w:val="fr"/>
        </w:rPr>
        <w:t>en</w:t>
      </w:r>
      <w:r w:rsidR="00002867" w:rsidRPr="00002867">
        <w:rPr>
          <w:lang w:val="fr-FR"/>
        </w:rPr>
        <w:t> </w:t>
      </w:r>
      <w:r w:rsidR="003352A3" w:rsidRPr="00002867">
        <w:rPr>
          <w:rFonts w:eastAsia="Calibri" w:cs="Times New Roman"/>
          <w:lang w:val="fr"/>
        </w:rPr>
        <w:t>œuvre</w:t>
      </w:r>
      <w:r w:rsidRPr="00002867">
        <w:rPr>
          <w:rFonts w:eastAsia="Calibri" w:cs="Times New Roman"/>
          <w:lang w:val="fr"/>
        </w:rPr>
        <w:t xml:space="preserve"> et le suivi d'actions nationales ciblant les MNT ; </w:t>
      </w:r>
    </w:p>
    <w:p w14:paraId="157412F0" w14:textId="0257C349" w:rsidR="00C63244" w:rsidRPr="00002867" w:rsidRDefault="00131BD6" w:rsidP="00495E6A">
      <w:pPr>
        <w:pStyle w:val="ListParagraph"/>
        <w:numPr>
          <w:ilvl w:val="0"/>
          <w:numId w:val="1"/>
        </w:numPr>
        <w:spacing w:after="0"/>
        <w:rPr>
          <w:rFonts w:eastAsia="Calibri" w:cs="Times New Roman"/>
          <w:lang w:val="fr-FR"/>
        </w:rPr>
      </w:pPr>
      <w:r w:rsidRPr="00002867">
        <w:rPr>
          <w:rFonts w:eastAsia="Calibri" w:cs="Times New Roman"/>
          <w:lang w:val="fr"/>
        </w:rPr>
        <w:t xml:space="preserve">renforcer les efforts pour améliorer la coordination régionale et valoriser la collaboration internationale ainsi que les opportunités de réseautage pour les </w:t>
      </w:r>
      <w:r w:rsidR="003352A3" w:rsidRPr="00002867">
        <w:rPr>
          <w:rFonts w:eastAsia="Calibri" w:cs="Times New Roman"/>
          <w:lang w:val="fr"/>
        </w:rPr>
        <w:t>États et Territoires insulaires du Pacifique</w:t>
      </w:r>
      <w:r w:rsidRPr="00002867">
        <w:rPr>
          <w:rFonts w:eastAsia="Calibri" w:cs="Times New Roman"/>
          <w:lang w:val="fr"/>
        </w:rPr>
        <w:t> ; et</w:t>
      </w:r>
    </w:p>
    <w:p w14:paraId="7E704699" w14:textId="065D9E5C" w:rsidR="0045535A" w:rsidRPr="00002867" w:rsidRDefault="00131BD6" w:rsidP="00495E6A">
      <w:pPr>
        <w:pStyle w:val="ListParagraph"/>
        <w:numPr>
          <w:ilvl w:val="0"/>
          <w:numId w:val="1"/>
        </w:numPr>
        <w:spacing w:after="0"/>
        <w:rPr>
          <w:rFonts w:eastAsia="Calibri" w:cs="Times New Roman"/>
          <w:lang w:val="fr-FR"/>
        </w:rPr>
      </w:pPr>
      <w:r w:rsidRPr="00002867">
        <w:rPr>
          <w:rFonts w:eastAsia="Calibri" w:cs="Times New Roman"/>
          <w:lang w:val="fr"/>
        </w:rPr>
        <w:t>soutenir la recherche opérationnelle sur les études d'impact pour renforcer les bases de données sur les interventions ciblant les MNT.</w:t>
      </w:r>
    </w:p>
    <w:p w14:paraId="2F0568A8" w14:textId="77777777" w:rsidR="00BE1590" w:rsidRPr="009B4C8C" w:rsidRDefault="00BE1590" w:rsidP="00D2206F">
      <w:pPr>
        <w:spacing w:before="480" w:after="480"/>
        <w:rPr>
          <w:rFonts w:eastAsia="Malgun Gothic" w:cs="Times New Roman"/>
          <w:b/>
          <w:bCs/>
          <w:lang w:val="fr-FR"/>
        </w:rPr>
      </w:pPr>
    </w:p>
    <w:p w14:paraId="7D8CD204" w14:textId="77777777" w:rsidR="00BE1590" w:rsidRPr="009B4C8C" w:rsidRDefault="00BE1590" w:rsidP="00D2206F">
      <w:pPr>
        <w:spacing w:before="480" w:after="480"/>
        <w:jc w:val="center"/>
        <w:rPr>
          <w:rFonts w:eastAsia="Malgun Gothic" w:cs="Times New Roman"/>
          <w:b/>
          <w:bCs/>
          <w:lang w:val="fr-FR"/>
        </w:rPr>
      </w:pPr>
    </w:p>
    <w:sectPr w:rsidR="00BE1590" w:rsidRPr="009B4C8C" w:rsidSect="00A37601">
      <w:headerReference w:type="even" r:id="rId11"/>
      <w:headerReference w:type="default" r:id="rId12"/>
      <w:headerReference w:type="first" r:id="rId13"/>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6BC87" w15:done="0"/>
  <w15:commentEx w15:paraId="6488F504" w15:done="0"/>
  <w15:commentEx w15:paraId="5DAF05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6BC87" w16cid:durableId="20AB55C4"/>
  <w16cid:commentId w16cid:paraId="6488F504" w16cid:durableId="20AB55C5"/>
  <w16cid:commentId w16cid:paraId="5DAF0505" w16cid:durableId="20AB55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C1D95" w14:textId="77777777" w:rsidR="00945E2E" w:rsidRDefault="00945E2E" w:rsidP="00DC6979">
      <w:pPr>
        <w:spacing w:after="0" w:line="240" w:lineRule="auto"/>
      </w:pPr>
      <w:r>
        <w:separator/>
      </w:r>
    </w:p>
  </w:endnote>
  <w:endnote w:type="continuationSeparator" w:id="0">
    <w:p w14:paraId="2C10849D" w14:textId="77777777" w:rsidR="00945E2E" w:rsidRDefault="00945E2E"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7F7C5" w14:textId="77777777" w:rsidR="00945E2E" w:rsidRDefault="00945E2E" w:rsidP="00DC6979">
      <w:pPr>
        <w:spacing w:after="0" w:line="240" w:lineRule="auto"/>
      </w:pPr>
      <w:r>
        <w:separator/>
      </w:r>
    </w:p>
  </w:footnote>
  <w:footnote w:type="continuationSeparator" w:id="0">
    <w:p w14:paraId="130704F7" w14:textId="77777777" w:rsidR="00945E2E" w:rsidRDefault="00945E2E" w:rsidP="00DC6979">
      <w:pPr>
        <w:spacing w:after="0" w:line="240" w:lineRule="auto"/>
      </w:pPr>
      <w:r>
        <w:continuationSeparator/>
      </w:r>
    </w:p>
  </w:footnote>
  <w:footnote w:id="1">
    <w:p w14:paraId="4E33EE1C" w14:textId="4DBEE6F3" w:rsidR="00BD41D3" w:rsidRPr="009B4C8C" w:rsidRDefault="00BD41D3" w:rsidP="000441E3">
      <w:pPr>
        <w:pStyle w:val="FootnoteText"/>
        <w:rPr>
          <w:rFonts w:asciiTheme="minorHAnsi" w:hAnsiTheme="minorHAnsi"/>
          <w:sz w:val="18"/>
          <w:szCs w:val="18"/>
          <w:lang w:val="fr-FR"/>
        </w:rPr>
      </w:pPr>
      <w:r w:rsidRPr="003352A3">
        <w:rPr>
          <w:rStyle w:val="FootnoteReference"/>
          <w:rFonts w:asciiTheme="minorHAnsi" w:hAnsiTheme="minorHAnsi"/>
          <w:sz w:val="18"/>
          <w:szCs w:val="18"/>
          <w:lang w:val="fr"/>
        </w:rPr>
        <w:footnoteRef/>
      </w:r>
      <w:hyperlink r:id="rId1" w:history="1">
        <w:r w:rsidRPr="003352A3">
          <w:rPr>
            <w:rStyle w:val="Hyperlink"/>
            <w:rFonts w:asciiTheme="minorHAnsi" w:hAnsiTheme="minorHAnsi"/>
            <w:sz w:val="18"/>
            <w:szCs w:val="18"/>
            <w:lang w:val="fr"/>
          </w:rPr>
          <w:t>Relevé de conclusions</w:t>
        </w:r>
      </w:hyperlink>
      <w:r w:rsidR="00C5690F" w:rsidRPr="003352A3">
        <w:rPr>
          <w:rStyle w:val="Hyperlink"/>
          <w:rFonts w:asciiTheme="minorHAnsi" w:hAnsiTheme="minorHAnsi"/>
          <w:sz w:val="18"/>
          <w:szCs w:val="18"/>
          <w:u w:val="none"/>
          <w:lang w:val="fr"/>
        </w:rPr>
        <w:t xml:space="preserve"> </w:t>
      </w:r>
      <w:r w:rsidRPr="003352A3">
        <w:rPr>
          <w:rFonts w:asciiTheme="minorHAnsi" w:hAnsiTheme="minorHAnsi"/>
          <w:sz w:val="18"/>
          <w:szCs w:val="18"/>
          <w:lang w:val="fr"/>
        </w:rPr>
        <w:t>de la réunion mixte du Forum économique et de la Réunion des ministres de la santé des pays océaniens, Honiara, Îles Salomon, 11 juillet 2014.</w:t>
      </w:r>
    </w:p>
  </w:footnote>
  <w:footnote w:id="2">
    <w:p w14:paraId="3DE7DB01" w14:textId="77777777" w:rsidR="00CC16D9" w:rsidRPr="009B4C8C" w:rsidRDefault="00CC16D9" w:rsidP="00CC16D9">
      <w:pPr>
        <w:pStyle w:val="NormalWeb"/>
        <w:shd w:val="clear" w:color="auto" w:fill="FFFFFF"/>
        <w:spacing w:before="0" w:beforeAutospacing="0" w:after="0" w:afterAutospacing="0"/>
        <w:rPr>
          <w:rFonts w:asciiTheme="minorHAnsi" w:hAnsiTheme="minorHAnsi"/>
          <w:sz w:val="18"/>
          <w:szCs w:val="18"/>
          <w:lang w:val="fr-FR"/>
        </w:rPr>
      </w:pPr>
      <w:r w:rsidRPr="00D20A66">
        <w:rPr>
          <w:rStyle w:val="FootnoteReference"/>
          <w:rFonts w:asciiTheme="minorHAnsi" w:hAnsiTheme="minorHAnsi"/>
          <w:sz w:val="18"/>
          <w:szCs w:val="18"/>
          <w:lang w:val="fr"/>
        </w:rPr>
        <w:footnoteRef/>
      </w:r>
      <w:r w:rsidRPr="00D20A66">
        <w:rPr>
          <w:rFonts w:asciiTheme="minorHAnsi" w:hAnsiTheme="minorHAnsi"/>
          <w:sz w:val="18"/>
          <w:szCs w:val="18"/>
          <w:lang w:val="fr"/>
        </w:rPr>
        <w:t xml:space="preserve">Pour chaque indicateur du Tableau de bord pour la lutte contre les MNT, les avancées obtenues en matière de mise en </w:t>
      </w:r>
      <w:proofErr w:type="spellStart"/>
      <w:r w:rsidRPr="00D20A66">
        <w:rPr>
          <w:rFonts w:asciiTheme="minorHAnsi" w:hAnsiTheme="minorHAnsi"/>
          <w:sz w:val="18"/>
          <w:szCs w:val="18"/>
          <w:lang w:val="fr"/>
        </w:rPr>
        <w:t>oeuvre</w:t>
      </w:r>
      <w:proofErr w:type="spellEnd"/>
      <w:r w:rsidRPr="00D20A66">
        <w:rPr>
          <w:rFonts w:asciiTheme="minorHAnsi" w:hAnsiTheme="minorHAnsi"/>
          <w:sz w:val="18"/>
          <w:szCs w:val="18"/>
          <w:lang w:val="fr"/>
        </w:rPr>
        <w:t xml:space="preserve"> est évaluée avec un code couleur de type « feu rouge » : rouge pour l'absence de politique/d'action présente ; jaune pour une politique/action en cours d'élaboration ; et vert pour une politique/action en place. Lorsqu'une politique est en place (code vert), la force de l'action/mise en </w:t>
      </w:r>
      <w:proofErr w:type="spellStart"/>
      <w:r w:rsidRPr="00D20A66">
        <w:rPr>
          <w:rFonts w:asciiTheme="minorHAnsi" w:hAnsiTheme="minorHAnsi"/>
          <w:sz w:val="18"/>
          <w:szCs w:val="18"/>
          <w:lang w:val="fr"/>
        </w:rPr>
        <w:t>oeuvre</w:t>
      </w:r>
      <w:proofErr w:type="spellEnd"/>
      <w:r w:rsidRPr="00D20A66">
        <w:rPr>
          <w:rFonts w:asciiTheme="minorHAnsi" w:hAnsiTheme="minorHAnsi"/>
          <w:sz w:val="18"/>
          <w:szCs w:val="18"/>
          <w:lang w:val="fr"/>
        </w:rPr>
        <w:t>/politique est évaluée grâce à un système d'étoiles (de zéro à trois étoiles).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821DD" w14:textId="642D30D1" w:rsidR="00D54483" w:rsidRPr="007608DB" w:rsidRDefault="001C1778" w:rsidP="00BD60F7">
    <w:pPr>
      <w:pStyle w:val="Header"/>
      <w:rPr>
        <w:rFonts w:asciiTheme="majorBidi" w:hAnsiTheme="majorBidi" w:cstheme="majorBidi"/>
        <w:b/>
        <w:bCs/>
      </w:rPr>
    </w:pPr>
    <w:r>
      <w:rPr>
        <w:rFonts w:asciiTheme="majorBidi" w:hAnsiTheme="majorBidi" w:cstheme="majorBidi"/>
        <w:b/>
        <w:bCs/>
        <w:lang w:val="fr"/>
      </w:rPr>
      <w:t>PIC13/</w:t>
    </w:r>
    <w:r w:rsidR="000F6BC3">
      <w:rPr>
        <w:rFonts w:asciiTheme="majorBidi" w:hAnsiTheme="majorBidi" w:cstheme="majorBidi"/>
        <w:b/>
        <w:bCs/>
        <w:lang w:val="fr"/>
      </w:rPr>
      <w:t>13</w:t>
    </w:r>
  </w:p>
  <w:p w14:paraId="6A18072E" w14:textId="238E0F14" w:rsidR="00D54483" w:rsidRDefault="00D54483"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A37601">
      <w:rPr>
        <w:rFonts w:asciiTheme="majorBidi" w:hAnsiTheme="majorBidi" w:cstheme="majorBidi"/>
        <w:b/>
        <w:bCs/>
        <w:noProof/>
        <w:lang w:val="fr"/>
      </w:rPr>
      <w:t>2</w:t>
    </w:r>
    <w:r>
      <w:rPr>
        <w:rFonts w:asciiTheme="majorBidi" w:hAnsiTheme="majorBidi" w:cstheme="majorBidi"/>
        <w:noProof/>
        <w:lang w:val="fr"/>
      </w:rPr>
      <w:fldChar w:fldCharType="end"/>
    </w:r>
  </w:p>
  <w:p w14:paraId="36D85F21" w14:textId="77777777" w:rsidR="00D54483" w:rsidRDefault="00D54483" w:rsidP="00BD60F7">
    <w:pPr>
      <w:pStyle w:val="Header"/>
      <w:rPr>
        <w:rFonts w:asciiTheme="majorBidi" w:hAnsiTheme="majorBidi" w:cstheme="majorBidi"/>
        <w:b/>
        <w:bCs/>
        <w:noProof/>
      </w:rPr>
    </w:pPr>
  </w:p>
  <w:p w14:paraId="25C652A7" w14:textId="77777777" w:rsidR="00D54483" w:rsidRPr="007608DB" w:rsidRDefault="00D5448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28B5B" w14:textId="33604389" w:rsidR="00A37601" w:rsidRDefault="00A37601" w:rsidP="00BD60F7">
    <w:pPr>
      <w:pStyle w:val="Header"/>
      <w:jc w:val="right"/>
      <w:rPr>
        <w:rFonts w:asciiTheme="majorBidi" w:hAnsiTheme="majorBidi" w:cstheme="majorBidi"/>
        <w:b/>
        <w:bCs/>
        <w:lang w:val="fr"/>
      </w:rPr>
    </w:pPr>
    <w:r>
      <w:rPr>
        <w:rFonts w:asciiTheme="majorBidi" w:hAnsiTheme="majorBidi" w:cstheme="majorBidi"/>
        <w:b/>
        <w:bCs/>
        <w:lang w:val="fr"/>
      </w:rPr>
      <w:t>PIC13/S4/1</w:t>
    </w:r>
  </w:p>
  <w:p w14:paraId="11926016" w14:textId="6C890616" w:rsidR="00D54483" w:rsidRDefault="00D54483" w:rsidP="00BD60F7">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A37601">
      <w:rPr>
        <w:rFonts w:asciiTheme="majorBidi" w:hAnsiTheme="majorBidi" w:cstheme="majorBidi"/>
        <w:b/>
        <w:bCs/>
        <w:noProof/>
        <w:lang w:val="fr"/>
      </w:rPr>
      <w:t>2</w:t>
    </w:r>
    <w:r>
      <w:rPr>
        <w:rFonts w:asciiTheme="majorBidi" w:hAnsiTheme="majorBidi" w:cstheme="majorBidi"/>
        <w:noProof/>
        <w:lang w:val="fr"/>
      </w:rPr>
      <w:fldChar w:fldCharType="end"/>
    </w:r>
  </w:p>
  <w:p w14:paraId="377CDD98" w14:textId="77777777" w:rsidR="00D54483" w:rsidRDefault="00D54483" w:rsidP="00BD60F7">
    <w:pPr>
      <w:pStyle w:val="Header"/>
      <w:jc w:val="right"/>
      <w:rPr>
        <w:rFonts w:asciiTheme="majorBidi" w:hAnsiTheme="majorBidi" w:cstheme="majorBidi"/>
        <w:b/>
        <w:bCs/>
        <w:noProof/>
      </w:rPr>
    </w:pPr>
  </w:p>
  <w:p w14:paraId="4C4DF380" w14:textId="77777777"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F245A" w14:textId="0CF860CF" w:rsidR="00A37601" w:rsidRDefault="00A37601" w:rsidP="00A37601">
    <w:pPr>
      <w:pStyle w:val="Header"/>
      <w:jc w:val="center"/>
    </w:pPr>
    <w:r>
      <w:rPr>
        <w:noProof/>
        <w:lang w:val="en-US" w:eastAsia="en-US"/>
      </w:rPr>
      <w:drawing>
        <wp:inline distT="0" distB="0" distL="0" distR="0" wp14:anchorId="2FA6A93C" wp14:editId="27B739F1">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04B"/>
    <w:multiLevelType w:val="hybridMultilevel"/>
    <w:tmpl w:val="1B108CA0"/>
    <w:lvl w:ilvl="0" w:tplc="4F98F77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0932B3"/>
    <w:multiLevelType w:val="hybridMultilevel"/>
    <w:tmpl w:val="1B108CA0"/>
    <w:lvl w:ilvl="0" w:tplc="4F98F77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7A77D5"/>
    <w:multiLevelType w:val="multilevel"/>
    <w:tmpl w:val="E31417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9895E81"/>
    <w:multiLevelType w:val="hybridMultilevel"/>
    <w:tmpl w:val="C002B838"/>
    <w:lvl w:ilvl="0" w:tplc="A386FEAC">
      <w:start w:val="1"/>
      <w:numFmt w:val="decimal"/>
      <w:lvlText w:val="%1)"/>
      <w:lvlJc w:val="left"/>
      <w:pPr>
        <w:ind w:left="720" w:hanging="360"/>
      </w:pPr>
      <w:rPr>
        <w:rFonts w:hint="default"/>
      </w:rPr>
    </w:lvl>
    <w:lvl w:ilvl="1" w:tplc="0C090003">
      <w:start w:val="1"/>
      <w:numFmt w:val="bullet"/>
      <w:lvlText w:val="o"/>
      <w:lvlJc w:val="left"/>
      <w:pPr>
        <w:ind w:left="1364" w:hanging="360"/>
      </w:pPr>
      <w:rPr>
        <w:rFonts w:ascii="Courier New" w:hAnsi="Courier New" w:cs="Courier New" w:hint="default"/>
      </w:rPr>
    </w:lvl>
    <w:lvl w:ilvl="2" w:tplc="0C090005">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ine Bachelier">
    <w15:presenceInfo w15:providerId="Windows Live" w15:userId="241fcd6559284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67"/>
    <w:rsid w:val="000028D0"/>
    <w:rsid w:val="000035A9"/>
    <w:rsid w:val="00005284"/>
    <w:rsid w:val="000105D2"/>
    <w:rsid w:val="00011383"/>
    <w:rsid w:val="00011807"/>
    <w:rsid w:val="00021180"/>
    <w:rsid w:val="000212BC"/>
    <w:rsid w:val="00021611"/>
    <w:rsid w:val="00022878"/>
    <w:rsid w:val="00023D6A"/>
    <w:rsid w:val="00030514"/>
    <w:rsid w:val="00030983"/>
    <w:rsid w:val="000330E5"/>
    <w:rsid w:val="000357A1"/>
    <w:rsid w:val="00036B49"/>
    <w:rsid w:val="000441E3"/>
    <w:rsid w:val="0004524D"/>
    <w:rsid w:val="0004739D"/>
    <w:rsid w:val="00051326"/>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26FE"/>
    <w:rsid w:val="0007551E"/>
    <w:rsid w:val="00075B2E"/>
    <w:rsid w:val="00080A86"/>
    <w:rsid w:val="00080E73"/>
    <w:rsid w:val="00081EEF"/>
    <w:rsid w:val="00082814"/>
    <w:rsid w:val="00082F9D"/>
    <w:rsid w:val="00084724"/>
    <w:rsid w:val="00085516"/>
    <w:rsid w:val="0008603A"/>
    <w:rsid w:val="000865E3"/>
    <w:rsid w:val="00090851"/>
    <w:rsid w:val="00091380"/>
    <w:rsid w:val="00091DC6"/>
    <w:rsid w:val="000940E0"/>
    <w:rsid w:val="0009537E"/>
    <w:rsid w:val="00095933"/>
    <w:rsid w:val="000964EF"/>
    <w:rsid w:val="000A1838"/>
    <w:rsid w:val="000A3107"/>
    <w:rsid w:val="000A4CC5"/>
    <w:rsid w:val="000A6500"/>
    <w:rsid w:val="000A7661"/>
    <w:rsid w:val="000A777F"/>
    <w:rsid w:val="000B07B4"/>
    <w:rsid w:val="000B22EA"/>
    <w:rsid w:val="000B2BA4"/>
    <w:rsid w:val="000B3376"/>
    <w:rsid w:val="000B5376"/>
    <w:rsid w:val="000B683B"/>
    <w:rsid w:val="000C03B5"/>
    <w:rsid w:val="000C441F"/>
    <w:rsid w:val="000C4DBA"/>
    <w:rsid w:val="000C4FAD"/>
    <w:rsid w:val="000C617B"/>
    <w:rsid w:val="000C6336"/>
    <w:rsid w:val="000D032C"/>
    <w:rsid w:val="000D06DD"/>
    <w:rsid w:val="000D1A94"/>
    <w:rsid w:val="000D28B0"/>
    <w:rsid w:val="000D2F03"/>
    <w:rsid w:val="000D34B2"/>
    <w:rsid w:val="000D4B86"/>
    <w:rsid w:val="000D631C"/>
    <w:rsid w:val="000D70E9"/>
    <w:rsid w:val="000E0FE6"/>
    <w:rsid w:val="000E19CD"/>
    <w:rsid w:val="000E293A"/>
    <w:rsid w:val="000E5212"/>
    <w:rsid w:val="000E6C33"/>
    <w:rsid w:val="000F0A55"/>
    <w:rsid w:val="000F17EA"/>
    <w:rsid w:val="000F34F6"/>
    <w:rsid w:val="000F5EF1"/>
    <w:rsid w:val="000F6BC3"/>
    <w:rsid w:val="0010585B"/>
    <w:rsid w:val="0010770D"/>
    <w:rsid w:val="00114B13"/>
    <w:rsid w:val="001214F0"/>
    <w:rsid w:val="001218CE"/>
    <w:rsid w:val="00124E49"/>
    <w:rsid w:val="00126794"/>
    <w:rsid w:val="00126D12"/>
    <w:rsid w:val="00131BD6"/>
    <w:rsid w:val="00133CAE"/>
    <w:rsid w:val="00143F3B"/>
    <w:rsid w:val="001478F5"/>
    <w:rsid w:val="00147EC4"/>
    <w:rsid w:val="00150E8C"/>
    <w:rsid w:val="00152ADF"/>
    <w:rsid w:val="00152E28"/>
    <w:rsid w:val="00154857"/>
    <w:rsid w:val="001549B8"/>
    <w:rsid w:val="0015752E"/>
    <w:rsid w:val="00161CFA"/>
    <w:rsid w:val="00163D77"/>
    <w:rsid w:val="001645ED"/>
    <w:rsid w:val="001660FA"/>
    <w:rsid w:val="00166CD2"/>
    <w:rsid w:val="00166F39"/>
    <w:rsid w:val="00170ADA"/>
    <w:rsid w:val="00172B5F"/>
    <w:rsid w:val="00173282"/>
    <w:rsid w:val="00173575"/>
    <w:rsid w:val="00173C3D"/>
    <w:rsid w:val="001775FD"/>
    <w:rsid w:val="00181925"/>
    <w:rsid w:val="00186793"/>
    <w:rsid w:val="00186CB5"/>
    <w:rsid w:val="00192CD9"/>
    <w:rsid w:val="00195526"/>
    <w:rsid w:val="001A068D"/>
    <w:rsid w:val="001A0F5F"/>
    <w:rsid w:val="001A18B9"/>
    <w:rsid w:val="001A2492"/>
    <w:rsid w:val="001A3B43"/>
    <w:rsid w:val="001B1E88"/>
    <w:rsid w:val="001B2385"/>
    <w:rsid w:val="001B3F08"/>
    <w:rsid w:val="001B448D"/>
    <w:rsid w:val="001B53A5"/>
    <w:rsid w:val="001B595B"/>
    <w:rsid w:val="001B6E1E"/>
    <w:rsid w:val="001C034B"/>
    <w:rsid w:val="001C1778"/>
    <w:rsid w:val="001C26B3"/>
    <w:rsid w:val="001C37CE"/>
    <w:rsid w:val="001C38F8"/>
    <w:rsid w:val="001E2E4F"/>
    <w:rsid w:val="001E46F5"/>
    <w:rsid w:val="001E4A38"/>
    <w:rsid w:val="001F1D88"/>
    <w:rsid w:val="001F3354"/>
    <w:rsid w:val="001F51D0"/>
    <w:rsid w:val="001F6C62"/>
    <w:rsid w:val="001F7017"/>
    <w:rsid w:val="002007E7"/>
    <w:rsid w:val="00211607"/>
    <w:rsid w:val="00212876"/>
    <w:rsid w:val="00217A96"/>
    <w:rsid w:val="002208DE"/>
    <w:rsid w:val="00220E92"/>
    <w:rsid w:val="00221229"/>
    <w:rsid w:val="002220BC"/>
    <w:rsid w:val="0022338A"/>
    <w:rsid w:val="00223E04"/>
    <w:rsid w:val="00223F11"/>
    <w:rsid w:val="00226E91"/>
    <w:rsid w:val="0022780C"/>
    <w:rsid w:val="00230963"/>
    <w:rsid w:val="002329C5"/>
    <w:rsid w:val="00232B56"/>
    <w:rsid w:val="0023352A"/>
    <w:rsid w:val="00233644"/>
    <w:rsid w:val="00234B1C"/>
    <w:rsid w:val="00236935"/>
    <w:rsid w:val="002410B5"/>
    <w:rsid w:val="00241FC9"/>
    <w:rsid w:val="00242996"/>
    <w:rsid w:val="00251BFF"/>
    <w:rsid w:val="002564F0"/>
    <w:rsid w:val="00257D05"/>
    <w:rsid w:val="00260F9A"/>
    <w:rsid w:val="00262450"/>
    <w:rsid w:val="00262AEA"/>
    <w:rsid w:val="00265C4C"/>
    <w:rsid w:val="00266110"/>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A0B3B"/>
    <w:rsid w:val="002A22F9"/>
    <w:rsid w:val="002A4128"/>
    <w:rsid w:val="002A5D02"/>
    <w:rsid w:val="002A6F1B"/>
    <w:rsid w:val="002B4367"/>
    <w:rsid w:val="002B4B36"/>
    <w:rsid w:val="002B643D"/>
    <w:rsid w:val="002B6ECD"/>
    <w:rsid w:val="002C24B4"/>
    <w:rsid w:val="002C32BC"/>
    <w:rsid w:val="002C47A5"/>
    <w:rsid w:val="002C53C7"/>
    <w:rsid w:val="002C5CEB"/>
    <w:rsid w:val="002D04EA"/>
    <w:rsid w:val="002D3F51"/>
    <w:rsid w:val="002D4A80"/>
    <w:rsid w:val="002D7683"/>
    <w:rsid w:val="002E43CA"/>
    <w:rsid w:val="002E54F4"/>
    <w:rsid w:val="002F1038"/>
    <w:rsid w:val="002F24BA"/>
    <w:rsid w:val="002F267B"/>
    <w:rsid w:val="002F3C26"/>
    <w:rsid w:val="00300CCC"/>
    <w:rsid w:val="00303F03"/>
    <w:rsid w:val="00310708"/>
    <w:rsid w:val="003123CB"/>
    <w:rsid w:val="003127AF"/>
    <w:rsid w:val="00312A62"/>
    <w:rsid w:val="003160F4"/>
    <w:rsid w:val="00320BF8"/>
    <w:rsid w:val="00321839"/>
    <w:rsid w:val="00321B6E"/>
    <w:rsid w:val="003262C1"/>
    <w:rsid w:val="00326F16"/>
    <w:rsid w:val="003307C6"/>
    <w:rsid w:val="003318EA"/>
    <w:rsid w:val="0033196F"/>
    <w:rsid w:val="003321CF"/>
    <w:rsid w:val="00332BF4"/>
    <w:rsid w:val="00333DE1"/>
    <w:rsid w:val="003352A3"/>
    <w:rsid w:val="00341DFC"/>
    <w:rsid w:val="003437FC"/>
    <w:rsid w:val="0034453B"/>
    <w:rsid w:val="003455B8"/>
    <w:rsid w:val="00345E46"/>
    <w:rsid w:val="00347141"/>
    <w:rsid w:val="00347D57"/>
    <w:rsid w:val="00352346"/>
    <w:rsid w:val="003524DF"/>
    <w:rsid w:val="00352844"/>
    <w:rsid w:val="00361D92"/>
    <w:rsid w:val="00363999"/>
    <w:rsid w:val="00363B5A"/>
    <w:rsid w:val="003647B9"/>
    <w:rsid w:val="0037231D"/>
    <w:rsid w:val="00373184"/>
    <w:rsid w:val="00373585"/>
    <w:rsid w:val="0037460D"/>
    <w:rsid w:val="00382450"/>
    <w:rsid w:val="003848C6"/>
    <w:rsid w:val="00391C32"/>
    <w:rsid w:val="003977B0"/>
    <w:rsid w:val="003A0A21"/>
    <w:rsid w:val="003A18F3"/>
    <w:rsid w:val="003A5C9E"/>
    <w:rsid w:val="003A7A3E"/>
    <w:rsid w:val="003B0C3B"/>
    <w:rsid w:val="003B33B9"/>
    <w:rsid w:val="003B465A"/>
    <w:rsid w:val="003B603E"/>
    <w:rsid w:val="003B798D"/>
    <w:rsid w:val="003C1B8C"/>
    <w:rsid w:val="003C1CFD"/>
    <w:rsid w:val="003C1E75"/>
    <w:rsid w:val="003C4367"/>
    <w:rsid w:val="003D00DA"/>
    <w:rsid w:val="003D0494"/>
    <w:rsid w:val="003D2986"/>
    <w:rsid w:val="003D35A8"/>
    <w:rsid w:val="003D594F"/>
    <w:rsid w:val="003E0892"/>
    <w:rsid w:val="003E5359"/>
    <w:rsid w:val="003E661C"/>
    <w:rsid w:val="003F1162"/>
    <w:rsid w:val="003F13A5"/>
    <w:rsid w:val="003F1F6A"/>
    <w:rsid w:val="003F782D"/>
    <w:rsid w:val="00403B84"/>
    <w:rsid w:val="0040421F"/>
    <w:rsid w:val="00405361"/>
    <w:rsid w:val="00411B77"/>
    <w:rsid w:val="00412625"/>
    <w:rsid w:val="00413521"/>
    <w:rsid w:val="00421D27"/>
    <w:rsid w:val="00422252"/>
    <w:rsid w:val="00423945"/>
    <w:rsid w:val="00424479"/>
    <w:rsid w:val="00424E69"/>
    <w:rsid w:val="0042627B"/>
    <w:rsid w:val="00434873"/>
    <w:rsid w:val="00436C80"/>
    <w:rsid w:val="00440011"/>
    <w:rsid w:val="0044045F"/>
    <w:rsid w:val="004438C0"/>
    <w:rsid w:val="00453276"/>
    <w:rsid w:val="00453278"/>
    <w:rsid w:val="00454A31"/>
    <w:rsid w:val="0045535A"/>
    <w:rsid w:val="00457E6A"/>
    <w:rsid w:val="00461CDE"/>
    <w:rsid w:val="00465268"/>
    <w:rsid w:val="004657B5"/>
    <w:rsid w:val="00470E35"/>
    <w:rsid w:val="00471432"/>
    <w:rsid w:val="004719D7"/>
    <w:rsid w:val="00474A69"/>
    <w:rsid w:val="0047652F"/>
    <w:rsid w:val="004805A7"/>
    <w:rsid w:val="00483A00"/>
    <w:rsid w:val="00483B3A"/>
    <w:rsid w:val="00487AA0"/>
    <w:rsid w:val="00492385"/>
    <w:rsid w:val="0049356C"/>
    <w:rsid w:val="00495E6A"/>
    <w:rsid w:val="00496AC7"/>
    <w:rsid w:val="00497E11"/>
    <w:rsid w:val="004A1C60"/>
    <w:rsid w:val="004A2696"/>
    <w:rsid w:val="004A6502"/>
    <w:rsid w:val="004B1395"/>
    <w:rsid w:val="004B32E7"/>
    <w:rsid w:val="004B3EA8"/>
    <w:rsid w:val="004B441F"/>
    <w:rsid w:val="004B5D52"/>
    <w:rsid w:val="004B716B"/>
    <w:rsid w:val="004B78B6"/>
    <w:rsid w:val="004C3048"/>
    <w:rsid w:val="004C3CA8"/>
    <w:rsid w:val="004C5D38"/>
    <w:rsid w:val="004D4041"/>
    <w:rsid w:val="004D43AC"/>
    <w:rsid w:val="004D57E5"/>
    <w:rsid w:val="004D600A"/>
    <w:rsid w:val="004D6F8A"/>
    <w:rsid w:val="004E05DF"/>
    <w:rsid w:val="004E0DBC"/>
    <w:rsid w:val="004E1B5C"/>
    <w:rsid w:val="004E4609"/>
    <w:rsid w:val="004E480B"/>
    <w:rsid w:val="004E4A10"/>
    <w:rsid w:val="004E4A66"/>
    <w:rsid w:val="004E4B10"/>
    <w:rsid w:val="004E7634"/>
    <w:rsid w:val="004F72F9"/>
    <w:rsid w:val="0050422B"/>
    <w:rsid w:val="0050591B"/>
    <w:rsid w:val="00516E7B"/>
    <w:rsid w:val="00523403"/>
    <w:rsid w:val="00527D94"/>
    <w:rsid w:val="0053363C"/>
    <w:rsid w:val="00533B65"/>
    <w:rsid w:val="00534DFF"/>
    <w:rsid w:val="00544620"/>
    <w:rsid w:val="00551A4B"/>
    <w:rsid w:val="00552611"/>
    <w:rsid w:val="00552A13"/>
    <w:rsid w:val="00553F8C"/>
    <w:rsid w:val="00554C75"/>
    <w:rsid w:val="00554F13"/>
    <w:rsid w:val="00556CF2"/>
    <w:rsid w:val="00560443"/>
    <w:rsid w:val="00560E73"/>
    <w:rsid w:val="005625E8"/>
    <w:rsid w:val="00564AEE"/>
    <w:rsid w:val="00567814"/>
    <w:rsid w:val="00573F62"/>
    <w:rsid w:val="00576E43"/>
    <w:rsid w:val="005807D5"/>
    <w:rsid w:val="00581A40"/>
    <w:rsid w:val="00583853"/>
    <w:rsid w:val="00583ADE"/>
    <w:rsid w:val="0058665E"/>
    <w:rsid w:val="00587D82"/>
    <w:rsid w:val="0059293F"/>
    <w:rsid w:val="00593BFB"/>
    <w:rsid w:val="00596916"/>
    <w:rsid w:val="00597B03"/>
    <w:rsid w:val="005A0498"/>
    <w:rsid w:val="005A1E01"/>
    <w:rsid w:val="005A32B9"/>
    <w:rsid w:val="005A4E0C"/>
    <w:rsid w:val="005A50A6"/>
    <w:rsid w:val="005A6E4E"/>
    <w:rsid w:val="005B034E"/>
    <w:rsid w:val="005B05E5"/>
    <w:rsid w:val="005B46C8"/>
    <w:rsid w:val="005C00F0"/>
    <w:rsid w:val="005C07C8"/>
    <w:rsid w:val="005C0EA0"/>
    <w:rsid w:val="005C32C7"/>
    <w:rsid w:val="005C6152"/>
    <w:rsid w:val="005C6A0B"/>
    <w:rsid w:val="005C7BFC"/>
    <w:rsid w:val="005D0A39"/>
    <w:rsid w:val="005D2ADF"/>
    <w:rsid w:val="005D4E10"/>
    <w:rsid w:val="005D6DD8"/>
    <w:rsid w:val="005D7A27"/>
    <w:rsid w:val="005D7D58"/>
    <w:rsid w:val="005E08CF"/>
    <w:rsid w:val="005E1A28"/>
    <w:rsid w:val="005F0C6C"/>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264A"/>
    <w:rsid w:val="00614819"/>
    <w:rsid w:val="00615DD2"/>
    <w:rsid w:val="00617D2F"/>
    <w:rsid w:val="00623D06"/>
    <w:rsid w:val="006259B0"/>
    <w:rsid w:val="00626A0B"/>
    <w:rsid w:val="0063532E"/>
    <w:rsid w:val="00643CC1"/>
    <w:rsid w:val="006445F7"/>
    <w:rsid w:val="006457B3"/>
    <w:rsid w:val="00646F1D"/>
    <w:rsid w:val="0065404F"/>
    <w:rsid w:val="006611E7"/>
    <w:rsid w:val="006639F5"/>
    <w:rsid w:val="00663B51"/>
    <w:rsid w:val="00666CCB"/>
    <w:rsid w:val="00667CD3"/>
    <w:rsid w:val="00676860"/>
    <w:rsid w:val="00677F4D"/>
    <w:rsid w:val="00680679"/>
    <w:rsid w:val="0068167E"/>
    <w:rsid w:val="00681FAD"/>
    <w:rsid w:val="006840E1"/>
    <w:rsid w:val="00690A79"/>
    <w:rsid w:val="00693B04"/>
    <w:rsid w:val="00693E06"/>
    <w:rsid w:val="00694833"/>
    <w:rsid w:val="00694FBA"/>
    <w:rsid w:val="00695A5C"/>
    <w:rsid w:val="006A1B0C"/>
    <w:rsid w:val="006A548B"/>
    <w:rsid w:val="006A6523"/>
    <w:rsid w:val="006A6B56"/>
    <w:rsid w:val="006A707B"/>
    <w:rsid w:val="006B06D0"/>
    <w:rsid w:val="006B1200"/>
    <w:rsid w:val="006B23B6"/>
    <w:rsid w:val="006B4CDF"/>
    <w:rsid w:val="006B775B"/>
    <w:rsid w:val="006C0571"/>
    <w:rsid w:val="006C4067"/>
    <w:rsid w:val="006C6039"/>
    <w:rsid w:val="006C627B"/>
    <w:rsid w:val="006C7BAE"/>
    <w:rsid w:val="006D1795"/>
    <w:rsid w:val="006D6221"/>
    <w:rsid w:val="006D6440"/>
    <w:rsid w:val="006D6486"/>
    <w:rsid w:val="006E0049"/>
    <w:rsid w:val="006E1E9E"/>
    <w:rsid w:val="006E21E8"/>
    <w:rsid w:val="006E2BB8"/>
    <w:rsid w:val="006E333A"/>
    <w:rsid w:val="006E5BF7"/>
    <w:rsid w:val="006E6AD9"/>
    <w:rsid w:val="006E7CE0"/>
    <w:rsid w:val="006F105F"/>
    <w:rsid w:val="006F45CE"/>
    <w:rsid w:val="006F49C8"/>
    <w:rsid w:val="006F59AE"/>
    <w:rsid w:val="00705591"/>
    <w:rsid w:val="00705AEC"/>
    <w:rsid w:val="00705EF1"/>
    <w:rsid w:val="00715970"/>
    <w:rsid w:val="0071698A"/>
    <w:rsid w:val="00717161"/>
    <w:rsid w:val="00720366"/>
    <w:rsid w:val="007205E4"/>
    <w:rsid w:val="00725401"/>
    <w:rsid w:val="00725C78"/>
    <w:rsid w:val="007277D6"/>
    <w:rsid w:val="007319B0"/>
    <w:rsid w:val="00733B6D"/>
    <w:rsid w:val="0074074F"/>
    <w:rsid w:val="007418C1"/>
    <w:rsid w:val="00741F24"/>
    <w:rsid w:val="00743918"/>
    <w:rsid w:val="007450BD"/>
    <w:rsid w:val="00750299"/>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54EC"/>
    <w:rsid w:val="00776FB8"/>
    <w:rsid w:val="00777BEF"/>
    <w:rsid w:val="0078171A"/>
    <w:rsid w:val="007828B7"/>
    <w:rsid w:val="007834E8"/>
    <w:rsid w:val="00783C90"/>
    <w:rsid w:val="00790DF6"/>
    <w:rsid w:val="00790F67"/>
    <w:rsid w:val="007932A1"/>
    <w:rsid w:val="00793CD6"/>
    <w:rsid w:val="0079439A"/>
    <w:rsid w:val="007946E1"/>
    <w:rsid w:val="00794D56"/>
    <w:rsid w:val="00796F87"/>
    <w:rsid w:val="0079722D"/>
    <w:rsid w:val="007973E4"/>
    <w:rsid w:val="007A182D"/>
    <w:rsid w:val="007A5D27"/>
    <w:rsid w:val="007B24D6"/>
    <w:rsid w:val="007B3322"/>
    <w:rsid w:val="007B3810"/>
    <w:rsid w:val="007B61BD"/>
    <w:rsid w:val="007C28BB"/>
    <w:rsid w:val="007C31CE"/>
    <w:rsid w:val="007C5054"/>
    <w:rsid w:val="007C68DB"/>
    <w:rsid w:val="007C6B84"/>
    <w:rsid w:val="007C77F1"/>
    <w:rsid w:val="007C7C30"/>
    <w:rsid w:val="007D17E9"/>
    <w:rsid w:val="007D1A9B"/>
    <w:rsid w:val="007D27C0"/>
    <w:rsid w:val="007D2F1C"/>
    <w:rsid w:val="007D309B"/>
    <w:rsid w:val="007D39E2"/>
    <w:rsid w:val="007D4D2B"/>
    <w:rsid w:val="007D5236"/>
    <w:rsid w:val="007D5DBF"/>
    <w:rsid w:val="007E01EB"/>
    <w:rsid w:val="007E10A6"/>
    <w:rsid w:val="007E3425"/>
    <w:rsid w:val="007E504D"/>
    <w:rsid w:val="007E604F"/>
    <w:rsid w:val="007E659C"/>
    <w:rsid w:val="007E6CA0"/>
    <w:rsid w:val="007F02E0"/>
    <w:rsid w:val="007F09F1"/>
    <w:rsid w:val="007F1ADA"/>
    <w:rsid w:val="007F4620"/>
    <w:rsid w:val="007F6195"/>
    <w:rsid w:val="008023DD"/>
    <w:rsid w:val="0080296C"/>
    <w:rsid w:val="00805F00"/>
    <w:rsid w:val="00810147"/>
    <w:rsid w:val="00812D11"/>
    <w:rsid w:val="00814F9D"/>
    <w:rsid w:val="00815A64"/>
    <w:rsid w:val="00816680"/>
    <w:rsid w:val="00822393"/>
    <w:rsid w:val="008223FB"/>
    <w:rsid w:val="008256AD"/>
    <w:rsid w:val="00827287"/>
    <w:rsid w:val="00830D79"/>
    <w:rsid w:val="0083276F"/>
    <w:rsid w:val="00832D40"/>
    <w:rsid w:val="00836E7B"/>
    <w:rsid w:val="0084043F"/>
    <w:rsid w:val="008425E6"/>
    <w:rsid w:val="00843B3B"/>
    <w:rsid w:val="0084501E"/>
    <w:rsid w:val="00850418"/>
    <w:rsid w:val="00850E11"/>
    <w:rsid w:val="008555A9"/>
    <w:rsid w:val="00860860"/>
    <w:rsid w:val="00863C7D"/>
    <w:rsid w:val="00863FFB"/>
    <w:rsid w:val="00864CD7"/>
    <w:rsid w:val="00864FC7"/>
    <w:rsid w:val="00866D1B"/>
    <w:rsid w:val="00871239"/>
    <w:rsid w:val="00872251"/>
    <w:rsid w:val="00874330"/>
    <w:rsid w:val="00876DEC"/>
    <w:rsid w:val="00880048"/>
    <w:rsid w:val="00884583"/>
    <w:rsid w:val="00885B9D"/>
    <w:rsid w:val="008871AB"/>
    <w:rsid w:val="00887580"/>
    <w:rsid w:val="00895A58"/>
    <w:rsid w:val="00895B39"/>
    <w:rsid w:val="008A205D"/>
    <w:rsid w:val="008A3A8C"/>
    <w:rsid w:val="008B3ABF"/>
    <w:rsid w:val="008C100A"/>
    <w:rsid w:val="008C6101"/>
    <w:rsid w:val="008C6B20"/>
    <w:rsid w:val="008D1246"/>
    <w:rsid w:val="008D20CE"/>
    <w:rsid w:val="008D2BC8"/>
    <w:rsid w:val="008D506B"/>
    <w:rsid w:val="008D50FB"/>
    <w:rsid w:val="008D67A9"/>
    <w:rsid w:val="008D721E"/>
    <w:rsid w:val="008E0650"/>
    <w:rsid w:val="008E0E4B"/>
    <w:rsid w:val="008E201E"/>
    <w:rsid w:val="008E2CBE"/>
    <w:rsid w:val="008F0665"/>
    <w:rsid w:val="008F0FAF"/>
    <w:rsid w:val="008F3C44"/>
    <w:rsid w:val="008F5AF5"/>
    <w:rsid w:val="008F5E3B"/>
    <w:rsid w:val="008F683C"/>
    <w:rsid w:val="008F68B0"/>
    <w:rsid w:val="00902EE8"/>
    <w:rsid w:val="009065FC"/>
    <w:rsid w:val="00906AB8"/>
    <w:rsid w:val="00906EE6"/>
    <w:rsid w:val="0090737E"/>
    <w:rsid w:val="00912F4F"/>
    <w:rsid w:val="00913E4A"/>
    <w:rsid w:val="0092057B"/>
    <w:rsid w:val="009206E8"/>
    <w:rsid w:val="00922580"/>
    <w:rsid w:val="00923F44"/>
    <w:rsid w:val="0093381D"/>
    <w:rsid w:val="009344CB"/>
    <w:rsid w:val="00934FF4"/>
    <w:rsid w:val="00935B58"/>
    <w:rsid w:val="00940710"/>
    <w:rsid w:val="0094181C"/>
    <w:rsid w:val="00941A76"/>
    <w:rsid w:val="00941C5C"/>
    <w:rsid w:val="00945E2E"/>
    <w:rsid w:val="009463C4"/>
    <w:rsid w:val="00950306"/>
    <w:rsid w:val="00951054"/>
    <w:rsid w:val="009510F9"/>
    <w:rsid w:val="00951607"/>
    <w:rsid w:val="00952F18"/>
    <w:rsid w:val="0095462D"/>
    <w:rsid w:val="00954C9F"/>
    <w:rsid w:val="0096117E"/>
    <w:rsid w:val="00961F20"/>
    <w:rsid w:val="00965DB5"/>
    <w:rsid w:val="00970DE9"/>
    <w:rsid w:val="00971C10"/>
    <w:rsid w:val="00971C9A"/>
    <w:rsid w:val="009742D3"/>
    <w:rsid w:val="00977334"/>
    <w:rsid w:val="0098086C"/>
    <w:rsid w:val="00982511"/>
    <w:rsid w:val="009830E0"/>
    <w:rsid w:val="0098525D"/>
    <w:rsid w:val="00986AF7"/>
    <w:rsid w:val="0098717E"/>
    <w:rsid w:val="00987475"/>
    <w:rsid w:val="00997965"/>
    <w:rsid w:val="009A098F"/>
    <w:rsid w:val="009A160E"/>
    <w:rsid w:val="009A4279"/>
    <w:rsid w:val="009A46E8"/>
    <w:rsid w:val="009A59CE"/>
    <w:rsid w:val="009B03E6"/>
    <w:rsid w:val="009B048F"/>
    <w:rsid w:val="009B1D9F"/>
    <w:rsid w:val="009B4C8C"/>
    <w:rsid w:val="009B4E49"/>
    <w:rsid w:val="009B6945"/>
    <w:rsid w:val="009C0117"/>
    <w:rsid w:val="009C3F11"/>
    <w:rsid w:val="009C60DD"/>
    <w:rsid w:val="009D056E"/>
    <w:rsid w:val="009D4270"/>
    <w:rsid w:val="009D5BC9"/>
    <w:rsid w:val="009D6B41"/>
    <w:rsid w:val="009E0188"/>
    <w:rsid w:val="009E15A6"/>
    <w:rsid w:val="009E4CD1"/>
    <w:rsid w:val="009E71DE"/>
    <w:rsid w:val="009F01B6"/>
    <w:rsid w:val="009F12CB"/>
    <w:rsid w:val="009F2764"/>
    <w:rsid w:val="009F4F4F"/>
    <w:rsid w:val="009F6B84"/>
    <w:rsid w:val="009F7448"/>
    <w:rsid w:val="009F7CDF"/>
    <w:rsid w:val="00A0226E"/>
    <w:rsid w:val="00A0260E"/>
    <w:rsid w:val="00A03E5D"/>
    <w:rsid w:val="00A07E4A"/>
    <w:rsid w:val="00A1004D"/>
    <w:rsid w:val="00A10828"/>
    <w:rsid w:val="00A10969"/>
    <w:rsid w:val="00A115FB"/>
    <w:rsid w:val="00A11F36"/>
    <w:rsid w:val="00A14D8D"/>
    <w:rsid w:val="00A17A13"/>
    <w:rsid w:val="00A222F7"/>
    <w:rsid w:val="00A2274B"/>
    <w:rsid w:val="00A22F96"/>
    <w:rsid w:val="00A232A0"/>
    <w:rsid w:val="00A247FB"/>
    <w:rsid w:val="00A257BE"/>
    <w:rsid w:val="00A27C2B"/>
    <w:rsid w:val="00A30B53"/>
    <w:rsid w:val="00A30DEA"/>
    <w:rsid w:val="00A32EEE"/>
    <w:rsid w:val="00A34DDA"/>
    <w:rsid w:val="00A36D4D"/>
    <w:rsid w:val="00A3748D"/>
    <w:rsid w:val="00A37601"/>
    <w:rsid w:val="00A4075B"/>
    <w:rsid w:val="00A41DF5"/>
    <w:rsid w:val="00A45B5B"/>
    <w:rsid w:val="00A516B6"/>
    <w:rsid w:val="00A5216F"/>
    <w:rsid w:val="00A53D52"/>
    <w:rsid w:val="00A53E09"/>
    <w:rsid w:val="00A54F98"/>
    <w:rsid w:val="00A553B1"/>
    <w:rsid w:val="00A60719"/>
    <w:rsid w:val="00A61CAD"/>
    <w:rsid w:val="00A63B38"/>
    <w:rsid w:val="00A7119E"/>
    <w:rsid w:val="00A719A8"/>
    <w:rsid w:val="00A71E8D"/>
    <w:rsid w:val="00A71F8C"/>
    <w:rsid w:val="00A72F3C"/>
    <w:rsid w:val="00A7589C"/>
    <w:rsid w:val="00A769F4"/>
    <w:rsid w:val="00A80B11"/>
    <w:rsid w:val="00A82AB2"/>
    <w:rsid w:val="00A852A5"/>
    <w:rsid w:val="00A87035"/>
    <w:rsid w:val="00A8726E"/>
    <w:rsid w:val="00A901AE"/>
    <w:rsid w:val="00A90B4C"/>
    <w:rsid w:val="00A91787"/>
    <w:rsid w:val="00A91F13"/>
    <w:rsid w:val="00A927A2"/>
    <w:rsid w:val="00A9317D"/>
    <w:rsid w:val="00AA281A"/>
    <w:rsid w:val="00AA444F"/>
    <w:rsid w:val="00AA5996"/>
    <w:rsid w:val="00AA6C78"/>
    <w:rsid w:val="00AB3726"/>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E5250"/>
    <w:rsid w:val="00AF008F"/>
    <w:rsid w:val="00AF2D2C"/>
    <w:rsid w:val="00AF339D"/>
    <w:rsid w:val="00AF4778"/>
    <w:rsid w:val="00AF4D88"/>
    <w:rsid w:val="00AF5EAB"/>
    <w:rsid w:val="00AF651A"/>
    <w:rsid w:val="00AF7BC2"/>
    <w:rsid w:val="00AF7D97"/>
    <w:rsid w:val="00B00A00"/>
    <w:rsid w:val="00B01571"/>
    <w:rsid w:val="00B045E9"/>
    <w:rsid w:val="00B06FF6"/>
    <w:rsid w:val="00B116BD"/>
    <w:rsid w:val="00B268D9"/>
    <w:rsid w:val="00B30833"/>
    <w:rsid w:val="00B41229"/>
    <w:rsid w:val="00B47441"/>
    <w:rsid w:val="00B51D77"/>
    <w:rsid w:val="00B53478"/>
    <w:rsid w:val="00B54302"/>
    <w:rsid w:val="00B55196"/>
    <w:rsid w:val="00B55DBB"/>
    <w:rsid w:val="00B56B20"/>
    <w:rsid w:val="00B5712A"/>
    <w:rsid w:val="00B63942"/>
    <w:rsid w:val="00B63BCD"/>
    <w:rsid w:val="00B67A3C"/>
    <w:rsid w:val="00B7168F"/>
    <w:rsid w:val="00B71D54"/>
    <w:rsid w:val="00B753A8"/>
    <w:rsid w:val="00B756A0"/>
    <w:rsid w:val="00B77724"/>
    <w:rsid w:val="00B81445"/>
    <w:rsid w:val="00B81FE0"/>
    <w:rsid w:val="00B8488C"/>
    <w:rsid w:val="00B8751C"/>
    <w:rsid w:val="00B9350E"/>
    <w:rsid w:val="00B9613D"/>
    <w:rsid w:val="00B96AA2"/>
    <w:rsid w:val="00BA1E51"/>
    <w:rsid w:val="00BA3F60"/>
    <w:rsid w:val="00BA4AE6"/>
    <w:rsid w:val="00BB1B66"/>
    <w:rsid w:val="00BB1EE7"/>
    <w:rsid w:val="00BB2C9A"/>
    <w:rsid w:val="00BB3414"/>
    <w:rsid w:val="00BB5003"/>
    <w:rsid w:val="00BC1569"/>
    <w:rsid w:val="00BC1573"/>
    <w:rsid w:val="00BC1918"/>
    <w:rsid w:val="00BC278F"/>
    <w:rsid w:val="00BC376B"/>
    <w:rsid w:val="00BC4651"/>
    <w:rsid w:val="00BC5510"/>
    <w:rsid w:val="00BC5834"/>
    <w:rsid w:val="00BC684E"/>
    <w:rsid w:val="00BC6C16"/>
    <w:rsid w:val="00BD1D1A"/>
    <w:rsid w:val="00BD41D3"/>
    <w:rsid w:val="00BD5224"/>
    <w:rsid w:val="00BD60F7"/>
    <w:rsid w:val="00BD6145"/>
    <w:rsid w:val="00BD73B8"/>
    <w:rsid w:val="00BD7C6E"/>
    <w:rsid w:val="00BD7D61"/>
    <w:rsid w:val="00BE1590"/>
    <w:rsid w:val="00BE209F"/>
    <w:rsid w:val="00BE23F9"/>
    <w:rsid w:val="00BE30F3"/>
    <w:rsid w:val="00BE69D8"/>
    <w:rsid w:val="00BF40C2"/>
    <w:rsid w:val="00BF42C9"/>
    <w:rsid w:val="00BF49FE"/>
    <w:rsid w:val="00C01474"/>
    <w:rsid w:val="00C01D86"/>
    <w:rsid w:val="00C022E2"/>
    <w:rsid w:val="00C023A1"/>
    <w:rsid w:val="00C0641C"/>
    <w:rsid w:val="00C10B2A"/>
    <w:rsid w:val="00C113D5"/>
    <w:rsid w:val="00C127A5"/>
    <w:rsid w:val="00C139D7"/>
    <w:rsid w:val="00C158A2"/>
    <w:rsid w:val="00C15994"/>
    <w:rsid w:val="00C15CCD"/>
    <w:rsid w:val="00C2157E"/>
    <w:rsid w:val="00C2451C"/>
    <w:rsid w:val="00C2550B"/>
    <w:rsid w:val="00C26D63"/>
    <w:rsid w:val="00C27D76"/>
    <w:rsid w:val="00C313CF"/>
    <w:rsid w:val="00C31B96"/>
    <w:rsid w:val="00C37BB5"/>
    <w:rsid w:val="00C4392E"/>
    <w:rsid w:val="00C43B4C"/>
    <w:rsid w:val="00C44851"/>
    <w:rsid w:val="00C45DF3"/>
    <w:rsid w:val="00C47CF4"/>
    <w:rsid w:val="00C50E39"/>
    <w:rsid w:val="00C51B7D"/>
    <w:rsid w:val="00C52D57"/>
    <w:rsid w:val="00C539AE"/>
    <w:rsid w:val="00C5690F"/>
    <w:rsid w:val="00C60C20"/>
    <w:rsid w:val="00C628A6"/>
    <w:rsid w:val="00C63244"/>
    <w:rsid w:val="00C64CA0"/>
    <w:rsid w:val="00C64D9B"/>
    <w:rsid w:val="00C67591"/>
    <w:rsid w:val="00C67B3B"/>
    <w:rsid w:val="00C67BC2"/>
    <w:rsid w:val="00C70FA9"/>
    <w:rsid w:val="00C726BD"/>
    <w:rsid w:val="00C75398"/>
    <w:rsid w:val="00C75699"/>
    <w:rsid w:val="00C76263"/>
    <w:rsid w:val="00C823D2"/>
    <w:rsid w:val="00C91B85"/>
    <w:rsid w:val="00C94587"/>
    <w:rsid w:val="00C9681C"/>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6D9"/>
    <w:rsid w:val="00CC1B34"/>
    <w:rsid w:val="00CC2C94"/>
    <w:rsid w:val="00CC5CBA"/>
    <w:rsid w:val="00CC7A88"/>
    <w:rsid w:val="00CD0B05"/>
    <w:rsid w:val="00CD0B4C"/>
    <w:rsid w:val="00CD10FF"/>
    <w:rsid w:val="00CD19E2"/>
    <w:rsid w:val="00CD441D"/>
    <w:rsid w:val="00CD6746"/>
    <w:rsid w:val="00CE1B17"/>
    <w:rsid w:val="00CE37ED"/>
    <w:rsid w:val="00CE4FFA"/>
    <w:rsid w:val="00CE7B0E"/>
    <w:rsid w:val="00CF1ACA"/>
    <w:rsid w:val="00CF5308"/>
    <w:rsid w:val="00CF7FD5"/>
    <w:rsid w:val="00D01C91"/>
    <w:rsid w:val="00D04D3F"/>
    <w:rsid w:val="00D05A0A"/>
    <w:rsid w:val="00D06392"/>
    <w:rsid w:val="00D077DC"/>
    <w:rsid w:val="00D07D63"/>
    <w:rsid w:val="00D12492"/>
    <w:rsid w:val="00D13542"/>
    <w:rsid w:val="00D15499"/>
    <w:rsid w:val="00D2070F"/>
    <w:rsid w:val="00D20A66"/>
    <w:rsid w:val="00D2206F"/>
    <w:rsid w:val="00D226EA"/>
    <w:rsid w:val="00D26ECF"/>
    <w:rsid w:val="00D3274E"/>
    <w:rsid w:val="00D37451"/>
    <w:rsid w:val="00D42355"/>
    <w:rsid w:val="00D43F7B"/>
    <w:rsid w:val="00D46BE1"/>
    <w:rsid w:val="00D530E4"/>
    <w:rsid w:val="00D54483"/>
    <w:rsid w:val="00D64E74"/>
    <w:rsid w:val="00D6625D"/>
    <w:rsid w:val="00D664C4"/>
    <w:rsid w:val="00D7108F"/>
    <w:rsid w:val="00D7181A"/>
    <w:rsid w:val="00D71E8D"/>
    <w:rsid w:val="00D72508"/>
    <w:rsid w:val="00D73296"/>
    <w:rsid w:val="00D73D02"/>
    <w:rsid w:val="00D752D7"/>
    <w:rsid w:val="00D807CE"/>
    <w:rsid w:val="00D8783A"/>
    <w:rsid w:val="00D87861"/>
    <w:rsid w:val="00D904AA"/>
    <w:rsid w:val="00D916A4"/>
    <w:rsid w:val="00D91DCB"/>
    <w:rsid w:val="00D963F8"/>
    <w:rsid w:val="00D970B0"/>
    <w:rsid w:val="00DA1381"/>
    <w:rsid w:val="00DA1B39"/>
    <w:rsid w:val="00DA377A"/>
    <w:rsid w:val="00DA3C9C"/>
    <w:rsid w:val="00DA5A4B"/>
    <w:rsid w:val="00DB30C3"/>
    <w:rsid w:val="00DB4033"/>
    <w:rsid w:val="00DB58C8"/>
    <w:rsid w:val="00DB6E67"/>
    <w:rsid w:val="00DC31D4"/>
    <w:rsid w:val="00DC31E7"/>
    <w:rsid w:val="00DC3B0F"/>
    <w:rsid w:val="00DC495E"/>
    <w:rsid w:val="00DC6979"/>
    <w:rsid w:val="00DC79DA"/>
    <w:rsid w:val="00DD24F3"/>
    <w:rsid w:val="00DD403E"/>
    <w:rsid w:val="00DD54F7"/>
    <w:rsid w:val="00DD6ECF"/>
    <w:rsid w:val="00DD7AA6"/>
    <w:rsid w:val="00DE230A"/>
    <w:rsid w:val="00DE3F38"/>
    <w:rsid w:val="00DF0311"/>
    <w:rsid w:val="00DF2BE6"/>
    <w:rsid w:val="00DF430D"/>
    <w:rsid w:val="00DF47D9"/>
    <w:rsid w:val="00DF4899"/>
    <w:rsid w:val="00DF4C30"/>
    <w:rsid w:val="00DF6BDD"/>
    <w:rsid w:val="00E0099C"/>
    <w:rsid w:val="00E021AA"/>
    <w:rsid w:val="00E031A0"/>
    <w:rsid w:val="00E03591"/>
    <w:rsid w:val="00E043AB"/>
    <w:rsid w:val="00E04B21"/>
    <w:rsid w:val="00E05602"/>
    <w:rsid w:val="00E05DA3"/>
    <w:rsid w:val="00E06A35"/>
    <w:rsid w:val="00E10E28"/>
    <w:rsid w:val="00E116D3"/>
    <w:rsid w:val="00E1799B"/>
    <w:rsid w:val="00E22EB9"/>
    <w:rsid w:val="00E23290"/>
    <w:rsid w:val="00E23A3B"/>
    <w:rsid w:val="00E25688"/>
    <w:rsid w:val="00E25DB7"/>
    <w:rsid w:val="00E2631E"/>
    <w:rsid w:val="00E26D38"/>
    <w:rsid w:val="00E276C4"/>
    <w:rsid w:val="00E278C2"/>
    <w:rsid w:val="00E30BC6"/>
    <w:rsid w:val="00E31C5D"/>
    <w:rsid w:val="00E3217D"/>
    <w:rsid w:val="00E340F8"/>
    <w:rsid w:val="00E35D7C"/>
    <w:rsid w:val="00E369BD"/>
    <w:rsid w:val="00E466BF"/>
    <w:rsid w:val="00E46DBC"/>
    <w:rsid w:val="00E53266"/>
    <w:rsid w:val="00E54245"/>
    <w:rsid w:val="00E550EF"/>
    <w:rsid w:val="00E55C2E"/>
    <w:rsid w:val="00E56467"/>
    <w:rsid w:val="00E602BD"/>
    <w:rsid w:val="00E63A82"/>
    <w:rsid w:val="00E65F4A"/>
    <w:rsid w:val="00E67187"/>
    <w:rsid w:val="00E709B8"/>
    <w:rsid w:val="00E71952"/>
    <w:rsid w:val="00E71EE6"/>
    <w:rsid w:val="00E73830"/>
    <w:rsid w:val="00E753DE"/>
    <w:rsid w:val="00E75AD7"/>
    <w:rsid w:val="00E81E99"/>
    <w:rsid w:val="00E832C4"/>
    <w:rsid w:val="00E83E95"/>
    <w:rsid w:val="00E85962"/>
    <w:rsid w:val="00E85C25"/>
    <w:rsid w:val="00E911C5"/>
    <w:rsid w:val="00E91BE1"/>
    <w:rsid w:val="00E94522"/>
    <w:rsid w:val="00E957C1"/>
    <w:rsid w:val="00E96551"/>
    <w:rsid w:val="00E97ED3"/>
    <w:rsid w:val="00EA0C0C"/>
    <w:rsid w:val="00EA1882"/>
    <w:rsid w:val="00EA2342"/>
    <w:rsid w:val="00EA665F"/>
    <w:rsid w:val="00EA79CF"/>
    <w:rsid w:val="00EA7FE4"/>
    <w:rsid w:val="00EB272F"/>
    <w:rsid w:val="00EB5D62"/>
    <w:rsid w:val="00EB5E48"/>
    <w:rsid w:val="00EC054E"/>
    <w:rsid w:val="00EC0C42"/>
    <w:rsid w:val="00EC22C0"/>
    <w:rsid w:val="00EC49F1"/>
    <w:rsid w:val="00EC54BF"/>
    <w:rsid w:val="00EC5BE6"/>
    <w:rsid w:val="00EC5C03"/>
    <w:rsid w:val="00EC5FB2"/>
    <w:rsid w:val="00ED06F0"/>
    <w:rsid w:val="00ED21F8"/>
    <w:rsid w:val="00ED5551"/>
    <w:rsid w:val="00ED6E3B"/>
    <w:rsid w:val="00ED7727"/>
    <w:rsid w:val="00EE0444"/>
    <w:rsid w:val="00EE06EB"/>
    <w:rsid w:val="00EE0872"/>
    <w:rsid w:val="00EE5246"/>
    <w:rsid w:val="00EF1FAC"/>
    <w:rsid w:val="00EF2848"/>
    <w:rsid w:val="00EF3FDE"/>
    <w:rsid w:val="00EF5389"/>
    <w:rsid w:val="00EF6C65"/>
    <w:rsid w:val="00EF6DE0"/>
    <w:rsid w:val="00F00714"/>
    <w:rsid w:val="00F02F32"/>
    <w:rsid w:val="00F0325C"/>
    <w:rsid w:val="00F03696"/>
    <w:rsid w:val="00F04613"/>
    <w:rsid w:val="00F10AC9"/>
    <w:rsid w:val="00F10C93"/>
    <w:rsid w:val="00F10E73"/>
    <w:rsid w:val="00F10E8D"/>
    <w:rsid w:val="00F15276"/>
    <w:rsid w:val="00F16BA1"/>
    <w:rsid w:val="00F17625"/>
    <w:rsid w:val="00F1784C"/>
    <w:rsid w:val="00F22253"/>
    <w:rsid w:val="00F2381F"/>
    <w:rsid w:val="00F23826"/>
    <w:rsid w:val="00F2643F"/>
    <w:rsid w:val="00F270E8"/>
    <w:rsid w:val="00F323B3"/>
    <w:rsid w:val="00F3701C"/>
    <w:rsid w:val="00F46035"/>
    <w:rsid w:val="00F46BC1"/>
    <w:rsid w:val="00F51510"/>
    <w:rsid w:val="00F535EB"/>
    <w:rsid w:val="00F537DE"/>
    <w:rsid w:val="00F6151D"/>
    <w:rsid w:val="00F66613"/>
    <w:rsid w:val="00F70446"/>
    <w:rsid w:val="00F7177C"/>
    <w:rsid w:val="00F7242D"/>
    <w:rsid w:val="00F8038A"/>
    <w:rsid w:val="00F83EA7"/>
    <w:rsid w:val="00F846DA"/>
    <w:rsid w:val="00F85C8A"/>
    <w:rsid w:val="00F90259"/>
    <w:rsid w:val="00F91642"/>
    <w:rsid w:val="00F92569"/>
    <w:rsid w:val="00F92F3E"/>
    <w:rsid w:val="00F932C7"/>
    <w:rsid w:val="00FB3A7D"/>
    <w:rsid w:val="00FB467B"/>
    <w:rsid w:val="00FB7B4C"/>
    <w:rsid w:val="00FB7E1D"/>
    <w:rsid w:val="00FC2009"/>
    <w:rsid w:val="00FC2205"/>
    <w:rsid w:val="00FC56D7"/>
    <w:rsid w:val="00FD0321"/>
    <w:rsid w:val="00FD2EFA"/>
    <w:rsid w:val="00FD5922"/>
    <w:rsid w:val="00FD6725"/>
    <w:rsid w:val="00FD6B1F"/>
    <w:rsid w:val="00FD70FE"/>
    <w:rsid w:val="00FD712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17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68F"/>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54A3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B7168F"/>
    <w:pPr>
      <w:keepNext/>
      <w:keepLines/>
      <w:spacing w:before="240" w:after="12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54A3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B7168F"/>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UnresolvedMention1">
    <w:name w:val="Unresolved Mention1"/>
    <w:basedOn w:val="DefaultParagraphFont"/>
    <w:uiPriority w:val="99"/>
    <w:semiHidden/>
    <w:unhideWhenUsed/>
    <w:rsid w:val="00F46BC1"/>
    <w:rPr>
      <w:color w:val="605E5C"/>
      <w:shd w:val="clear" w:color="auto" w:fill="E1DFDD"/>
    </w:rPr>
  </w:style>
  <w:style w:type="character" w:styleId="FollowedHyperlink">
    <w:name w:val="FollowedHyperlink"/>
    <w:basedOn w:val="DefaultParagraphFont"/>
    <w:uiPriority w:val="99"/>
    <w:semiHidden/>
    <w:unhideWhenUsed/>
    <w:rsid w:val="00082F9D"/>
    <w:rPr>
      <w:color w:val="800080" w:themeColor="followedHyperlink"/>
      <w:u w:val="single"/>
    </w:rPr>
  </w:style>
  <w:style w:type="character" w:customStyle="1" w:styleId="UnresolvedMention2">
    <w:name w:val="Unresolved Mention2"/>
    <w:basedOn w:val="DefaultParagraphFont"/>
    <w:uiPriority w:val="99"/>
    <w:semiHidden/>
    <w:unhideWhenUsed/>
    <w:rsid w:val="006D648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68F"/>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454A31"/>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B7168F"/>
    <w:pPr>
      <w:keepNext/>
      <w:keepLines/>
      <w:spacing w:before="240" w:after="12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454A31"/>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B7168F"/>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UnresolvedMention1">
    <w:name w:val="Unresolved Mention1"/>
    <w:basedOn w:val="DefaultParagraphFont"/>
    <w:uiPriority w:val="99"/>
    <w:semiHidden/>
    <w:unhideWhenUsed/>
    <w:rsid w:val="00F46BC1"/>
    <w:rPr>
      <w:color w:val="605E5C"/>
      <w:shd w:val="clear" w:color="auto" w:fill="E1DFDD"/>
    </w:rPr>
  </w:style>
  <w:style w:type="character" w:styleId="FollowedHyperlink">
    <w:name w:val="FollowedHyperlink"/>
    <w:basedOn w:val="DefaultParagraphFont"/>
    <w:uiPriority w:val="99"/>
    <w:semiHidden/>
    <w:unhideWhenUsed/>
    <w:rsid w:val="00082F9D"/>
    <w:rPr>
      <w:color w:val="800080" w:themeColor="followedHyperlink"/>
      <w:u w:val="single"/>
    </w:rPr>
  </w:style>
  <w:style w:type="character" w:customStyle="1" w:styleId="UnresolvedMention2">
    <w:name w:val="Unresolved Mention2"/>
    <w:basedOn w:val="DefaultParagraphFont"/>
    <w:uiPriority w:val="99"/>
    <w:semiHidden/>
    <w:unhideWhenUsed/>
    <w:rsid w:val="006D6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6648">
      <w:bodyDiv w:val="1"/>
      <w:marLeft w:val="0"/>
      <w:marRight w:val="0"/>
      <w:marTop w:val="0"/>
      <w:marBottom w:val="0"/>
      <w:divBdr>
        <w:top w:val="none" w:sz="0" w:space="0" w:color="auto"/>
        <w:left w:val="none" w:sz="0" w:space="0" w:color="auto"/>
        <w:bottom w:val="none" w:sz="0" w:space="0" w:color="auto"/>
        <w:right w:val="none" w:sz="0" w:space="0" w:color="auto"/>
      </w:divBdr>
      <w:divsChild>
        <w:div w:id="1510292544">
          <w:marLeft w:val="0"/>
          <w:marRight w:val="0"/>
          <w:marTop w:val="0"/>
          <w:marBottom w:val="0"/>
          <w:divBdr>
            <w:top w:val="none" w:sz="0" w:space="0" w:color="auto"/>
            <w:left w:val="none" w:sz="0" w:space="0" w:color="auto"/>
            <w:bottom w:val="none" w:sz="0" w:space="0" w:color="auto"/>
            <w:right w:val="none" w:sz="0" w:space="0" w:color="auto"/>
          </w:divBdr>
          <w:divsChild>
            <w:div w:id="662467374">
              <w:marLeft w:val="0"/>
              <w:marRight w:val="0"/>
              <w:marTop w:val="0"/>
              <w:marBottom w:val="0"/>
              <w:divBdr>
                <w:top w:val="none" w:sz="0" w:space="0" w:color="auto"/>
                <w:left w:val="none" w:sz="0" w:space="0" w:color="auto"/>
                <w:bottom w:val="none" w:sz="0" w:space="0" w:color="auto"/>
                <w:right w:val="none" w:sz="0" w:space="0" w:color="auto"/>
              </w:divBdr>
              <w:divsChild>
                <w:div w:id="1274240187">
                  <w:marLeft w:val="0"/>
                  <w:marRight w:val="0"/>
                  <w:marTop w:val="0"/>
                  <w:marBottom w:val="0"/>
                  <w:divBdr>
                    <w:top w:val="none" w:sz="0" w:space="0" w:color="auto"/>
                    <w:left w:val="none" w:sz="0" w:space="0" w:color="auto"/>
                    <w:bottom w:val="none" w:sz="0" w:space="0" w:color="auto"/>
                    <w:right w:val="none" w:sz="0" w:space="0" w:color="auto"/>
                  </w:divBdr>
                  <w:divsChild>
                    <w:div w:id="153125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148834309">
      <w:bodyDiv w:val="1"/>
      <w:marLeft w:val="0"/>
      <w:marRight w:val="0"/>
      <w:marTop w:val="0"/>
      <w:marBottom w:val="0"/>
      <w:divBdr>
        <w:top w:val="none" w:sz="0" w:space="0" w:color="auto"/>
        <w:left w:val="none" w:sz="0" w:space="0" w:color="auto"/>
        <w:bottom w:val="none" w:sz="0" w:space="0" w:color="auto"/>
        <w:right w:val="none" w:sz="0" w:space="0" w:color="auto"/>
      </w:divBdr>
    </w:div>
    <w:div w:id="362825936">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12841265">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730006948">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7928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ho.int/cardiovascular_diseases/publications/implementation_tools_WHO_PEN/en/"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forumsec.org/wp-content/uploads/2019/02/Pacific-NCD-Roadmap.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cdalliance.org/sites/default/files/rfiles/2014_Joint_FEMM_PHMM_%20Meeting_Outcomes_Statement_July14_approvedbyMinister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9BF2547-9570-4717-8061-AA8FAAA1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cp:revision>
  <cp:lastPrinted>2015-04-06T00:58:00Z</cp:lastPrinted>
  <dcterms:created xsi:type="dcterms:W3CDTF">2019-07-16T20:23:00Z</dcterms:created>
  <dcterms:modified xsi:type="dcterms:W3CDTF">2019-07-27T04:18:00Z</dcterms:modified>
</cp:coreProperties>
</file>